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A533" w14:textId="77777777" w:rsidR="00B13E5D" w:rsidRPr="006B3002" w:rsidRDefault="00B13E5D" w:rsidP="000B6F9D">
      <w:pPr>
        <w:pStyle w:val="Sansinterligne"/>
        <w:rPr>
          <w:u w:val="single"/>
        </w:rPr>
      </w:pPr>
    </w:p>
    <w:p w14:paraId="13A8102F" w14:textId="72BBE64E" w:rsidR="002C3226" w:rsidRPr="006B3002" w:rsidRDefault="001E05D9" w:rsidP="000B6F9D">
      <w:pPr>
        <w:pStyle w:val="Sansinterligne"/>
        <w:jc w:val="center"/>
        <w:rPr>
          <w:b/>
          <w:color w:val="002060"/>
          <w:sz w:val="32"/>
          <w:szCs w:val="32"/>
          <w:u w:val="single"/>
        </w:rPr>
      </w:pPr>
      <w:r w:rsidRPr="006B3002">
        <w:rPr>
          <w:b/>
          <w:color w:val="002060"/>
          <w:sz w:val="32"/>
          <w:szCs w:val="32"/>
          <w:u w:val="single"/>
        </w:rPr>
        <w:t>Mesures d’interdiction</w:t>
      </w:r>
      <w:r w:rsidR="00B324A1" w:rsidRPr="006B3002">
        <w:rPr>
          <w:b/>
          <w:color w:val="002060"/>
          <w:sz w:val="32"/>
          <w:szCs w:val="32"/>
          <w:u w:val="single"/>
        </w:rPr>
        <w:t xml:space="preserve"> des e</w:t>
      </w:r>
      <w:r w:rsidR="002C3226" w:rsidRPr="006B3002">
        <w:rPr>
          <w:b/>
          <w:color w:val="002060"/>
          <w:sz w:val="32"/>
          <w:szCs w:val="32"/>
          <w:u w:val="single"/>
        </w:rPr>
        <w:t xml:space="preserve">mballages et </w:t>
      </w:r>
      <w:r w:rsidR="003A260F" w:rsidRPr="006B3002">
        <w:rPr>
          <w:b/>
          <w:color w:val="002060"/>
          <w:sz w:val="32"/>
          <w:szCs w:val="32"/>
          <w:u w:val="single"/>
        </w:rPr>
        <w:t>produits</w:t>
      </w:r>
      <w:r w:rsidR="002C3226" w:rsidRPr="006B3002">
        <w:rPr>
          <w:b/>
          <w:color w:val="002060"/>
          <w:sz w:val="32"/>
          <w:szCs w:val="32"/>
          <w:u w:val="single"/>
        </w:rPr>
        <w:t xml:space="preserve"> </w:t>
      </w:r>
      <w:r w:rsidR="003A260F" w:rsidRPr="006B3002">
        <w:rPr>
          <w:b/>
          <w:color w:val="002060"/>
          <w:sz w:val="32"/>
          <w:szCs w:val="32"/>
          <w:u w:val="single"/>
        </w:rPr>
        <w:t xml:space="preserve">en </w:t>
      </w:r>
      <w:r w:rsidR="002C3226" w:rsidRPr="006B3002">
        <w:rPr>
          <w:b/>
          <w:color w:val="002060"/>
          <w:sz w:val="32"/>
          <w:szCs w:val="32"/>
          <w:u w:val="single"/>
        </w:rPr>
        <w:t>plastique</w:t>
      </w:r>
      <w:r w:rsidR="000B6F9D" w:rsidRPr="006B3002">
        <w:rPr>
          <w:b/>
          <w:color w:val="002060"/>
          <w:sz w:val="32"/>
          <w:szCs w:val="32"/>
          <w:u w:val="single"/>
        </w:rPr>
        <w:t xml:space="preserve"> : </w:t>
      </w:r>
      <w:r w:rsidR="00B324A1" w:rsidRPr="006B3002">
        <w:rPr>
          <w:b/>
          <w:color w:val="002060"/>
          <w:sz w:val="32"/>
          <w:szCs w:val="32"/>
          <w:u w:val="single"/>
        </w:rPr>
        <w:t>tour d’horizon à date</w:t>
      </w:r>
    </w:p>
    <w:p w14:paraId="442BE4ED" w14:textId="77777777" w:rsidR="005E1D87" w:rsidRPr="006B3002" w:rsidRDefault="005E1D87" w:rsidP="000B6F9D">
      <w:pPr>
        <w:pStyle w:val="Sansinterligne"/>
        <w:jc w:val="center"/>
        <w:rPr>
          <w:color w:val="002060"/>
          <w:u w:val="single"/>
        </w:rPr>
      </w:pPr>
    </w:p>
    <w:p w14:paraId="3181984B" w14:textId="77777777" w:rsidR="002C3226" w:rsidRPr="006B3002" w:rsidRDefault="002C3226" w:rsidP="002C3226">
      <w:pPr>
        <w:pStyle w:val="Sansinterligne"/>
        <w:jc w:val="both"/>
        <w:rPr>
          <w:b/>
          <w:color w:val="FF0000"/>
        </w:rPr>
      </w:pPr>
    </w:p>
    <w:p w14:paraId="77CAD0C3" w14:textId="28F06984" w:rsidR="00FF2D19" w:rsidRPr="006B3002" w:rsidRDefault="00FF2D19" w:rsidP="005E1D87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center"/>
        <w:rPr>
          <w:b/>
          <w:bCs/>
          <w:iCs/>
          <w:u w:val="single"/>
        </w:rPr>
      </w:pPr>
      <w:r w:rsidRPr="006B3002">
        <w:rPr>
          <w:b/>
          <w:bCs/>
          <w:iCs/>
          <w:u w:val="single"/>
        </w:rPr>
        <w:t>À propos</w:t>
      </w:r>
    </w:p>
    <w:p w14:paraId="11B9F8B9" w14:textId="77777777" w:rsidR="007C1859" w:rsidRPr="006B3002" w:rsidRDefault="007C1859" w:rsidP="005E1D87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both"/>
        <w:rPr>
          <w:b/>
          <w:bCs/>
          <w:i/>
        </w:rPr>
      </w:pPr>
    </w:p>
    <w:p w14:paraId="53BC3815" w14:textId="3EA4FB89" w:rsidR="002C3226" w:rsidRPr="006B3002" w:rsidRDefault="003A260F" w:rsidP="005E1D87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both"/>
        <w:rPr>
          <w:i/>
        </w:rPr>
      </w:pPr>
      <w:r w:rsidRPr="006B3002">
        <w:rPr>
          <w:b/>
          <w:bCs/>
          <w:i/>
        </w:rPr>
        <w:t>Cette note</w:t>
      </w:r>
      <w:r w:rsidR="001828DD" w:rsidRPr="006B3002">
        <w:rPr>
          <w:i/>
        </w:rPr>
        <w:t xml:space="preserve"> </w:t>
      </w:r>
      <w:r w:rsidR="00CE0EA1" w:rsidRPr="006B3002">
        <w:rPr>
          <w:b/>
          <w:bCs/>
          <w:i/>
        </w:rPr>
        <w:t xml:space="preserve">se base sur la réglementation à date concernant la mise sur le marché des emballages et </w:t>
      </w:r>
      <w:r w:rsidR="009B7DA6" w:rsidRPr="006B3002">
        <w:rPr>
          <w:b/>
          <w:bCs/>
          <w:i/>
        </w:rPr>
        <w:t>produits en plastique</w:t>
      </w:r>
      <w:r w:rsidR="009B7DA6" w:rsidRPr="006B3002">
        <w:rPr>
          <w:i/>
        </w:rPr>
        <w:t xml:space="preserve">, répond à des questions récurrentes et met en exergue les points qui demandent clarification/ restent en suspens. </w:t>
      </w:r>
      <w:r w:rsidR="00CE0EA1" w:rsidRPr="006B3002">
        <w:rPr>
          <w:i/>
        </w:rPr>
        <w:t xml:space="preserve">Elle </w:t>
      </w:r>
      <w:r w:rsidRPr="006B3002">
        <w:rPr>
          <w:i/>
        </w:rPr>
        <w:t xml:space="preserve">a vocation </w:t>
      </w:r>
      <w:r w:rsidR="00B14DB9" w:rsidRPr="006B3002">
        <w:rPr>
          <w:i/>
        </w:rPr>
        <w:t>à</w:t>
      </w:r>
      <w:r w:rsidRPr="006B3002">
        <w:rPr>
          <w:i/>
        </w:rPr>
        <w:t xml:space="preserve"> être enrichie par </w:t>
      </w:r>
      <w:r w:rsidR="00B14DB9" w:rsidRPr="006B3002">
        <w:rPr>
          <w:i/>
        </w:rPr>
        <w:t xml:space="preserve">les évolutions réglementaires et </w:t>
      </w:r>
      <w:r w:rsidR="00CE0EA1" w:rsidRPr="006B3002">
        <w:rPr>
          <w:i/>
        </w:rPr>
        <w:t>l</w:t>
      </w:r>
      <w:r w:rsidR="00B14DB9" w:rsidRPr="006B3002">
        <w:rPr>
          <w:i/>
        </w:rPr>
        <w:t xml:space="preserve">es questions des adhérents. </w:t>
      </w:r>
    </w:p>
    <w:p w14:paraId="2F13C7FB" w14:textId="24EBC76B" w:rsidR="00CC229B" w:rsidRPr="006B3002" w:rsidRDefault="00CC229B" w:rsidP="005E1D87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both"/>
        <w:rPr>
          <w:i/>
        </w:rPr>
      </w:pPr>
    </w:p>
    <w:p w14:paraId="76C0585D" w14:textId="011A9760" w:rsidR="002C3226" w:rsidRPr="0018740B" w:rsidRDefault="001E4E70" w:rsidP="00114EBB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both"/>
        <w:rPr>
          <w:i/>
        </w:rPr>
      </w:pPr>
      <w:r w:rsidRPr="0018740B">
        <w:rPr>
          <w:bCs/>
          <w:i/>
        </w:rPr>
        <w:t>Cette note considère</w:t>
      </w:r>
      <w:r w:rsidR="00CC229B" w:rsidRPr="0018740B">
        <w:rPr>
          <w:i/>
        </w:rPr>
        <w:t xml:space="preserve"> </w:t>
      </w:r>
      <w:r w:rsidR="002D1A11" w:rsidRPr="0018740B">
        <w:rPr>
          <w:i/>
        </w:rPr>
        <w:t xml:space="preserve">que la </w:t>
      </w:r>
      <w:r w:rsidR="002D1A11" w:rsidRPr="0018740B">
        <w:rPr>
          <w:bCs/>
          <w:i/>
        </w:rPr>
        <w:t xml:space="preserve">loi </w:t>
      </w:r>
      <w:proofErr w:type="spellStart"/>
      <w:r w:rsidR="00CB2CBA" w:rsidRPr="0018740B">
        <w:rPr>
          <w:bCs/>
          <w:i/>
        </w:rPr>
        <w:t>n°</w:t>
      </w:r>
      <w:r w:rsidR="00CB2CBA" w:rsidRPr="0018740B">
        <w:rPr>
          <w:bCs/>
          <w:i/>
          <w:highlight w:val="yellow"/>
        </w:rPr>
        <w:t>XXX</w:t>
      </w:r>
      <w:proofErr w:type="spellEnd"/>
      <w:r w:rsidR="00CB2CBA" w:rsidRPr="0018740B">
        <w:rPr>
          <w:bCs/>
          <w:i/>
          <w:highlight w:val="yellow"/>
        </w:rPr>
        <w:t xml:space="preserve"> </w:t>
      </w:r>
      <w:r w:rsidR="002D1A11" w:rsidRPr="0018740B">
        <w:rPr>
          <w:bCs/>
          <w:i/>
          <w:highlight w:val="yellow"/>
        </w:rPr>
        <w:t>du XX</w:t>
      </w:r>
      <w:r w:rsidR="002D1A11" w:rsidRPr="0018740B">
        <w:rPr>
          <w:bCs/>
          <w:i/>
        </w:rPr>
        <w:t xml:space="preserve"> </w:t>
      </w:r>
      <w:r w:rsidR="002D1A11" w:rsidRPr="0018740B">
        <w:rPr>
          <w:i/>
        </w:rPr>
        <w:t>relative à la lutte contre le gaspillage et à l’économie circulaire</w:t>
      </w:r>
      <w:r w:rsidR="002D1A11" w:rsidRPr="0018740B">
        <w:rPr>
          <w:bCs/>
          <w:i/>
        </w:rPr>
        <w:t xml:space="preserve"> est une transposition en droit national</w:t>
      </w:r>
      <w:r w:rsidR="002D1A11" w:rsidRPr="0018740B">
        <w:rPr>
          <w:i/>
        </w:rPr>
        <w:t xml:space="preserve"> de la </w:t>
      </w:r>
      <w:r w:rsidR="00E40D98" w:rsidRPr="0018740B">
        <w:rPr>
          <w:i/>
        </w:rPr>
        <w:t>d</w:t>
      </w:r>
      <w:r w:rsidR="001B45AB" w:rsidRPr="0018740B">
        <w:rPr>
          <w:i/>
        </w:rPr>
        <w:t xml:space="preserve">irective </w:t>
      </w:r>
      <w:r w:rsidR="00114EBB" w:rsidRPr="0018740B">
        <w:rPr>
          <w:i/>
        </w:rPr>
        <w:t>2019/904 relative à la réduction de l’incidence de certains produits en plastique sur l’environnement (SUP) du 5 juin 2019</w:t>
      </w:r>
      <w:r w:rsidRPr="0018740B">
        <w:rPr>
          <w:i/>
        </w:rPr>
        <w:t>.</w:t>
      </w:r>
      <w:r w:rsidR="002D381D" w:rsidRPr="0018740B">
        <w:rPr>
          <w:i/>
        </w:rPr>
        <w:t xml:space="preserve"> </w:t>
      </w:r>
      <w:r w:rsidR="006E77B9" w:rsidRPr="0018740B">
        <w:rPr>
          <w:i/>
        </w:rPr>
        <w:t>En l’espèce</w:t>
      </w:r>
      <w:r w:rsidR="006E77B9" w:rsidRPr="0018740B">
        <w:rPr>
          <w:bCs/>
          <w:i/>
        </w:rPr>
        <w:t xml:space="preserve">, les définitions et les contours </w:t>
      </w:r>
      <w:r w:rsidR="00B240F0" w:rsidRPr="0018740B">
        <w:rPr>
          <w:bCs/>
          <w:i/>
        </w:rPr>
        <w:t xml:space="preserve">définis dans la </w:t>
      </w:r>
      <w:r w:rsidR="0018740B" w:rsidRPr="0018740B">
        <w:rPr>
          <w:bCs/>
          <w:i/>
        </w:rPr>
        <w:t>d</w:t>
      </w:r>
      <w:r w:rsidR="00B240F0" w:rsidRPr="0018740B">
        <w:rPr>
          <w:bCs/>
          <w:i/>
        </w:rPr>
        <w:t xml:space="preserve">irective 2019/904 sont </w:t>
      </w:r>
      <w:r w:rsidR="00290DE9" w:rsidRPr="0018740B">
        <w:rPr>
          <w:bCs/>
          <w:i/>
        </w:rPr>
        <w:t>la grille de lecture à prendre en compte</w:t>
      </w:r>
      <w:r w:rsidR="00290DE9" w:rsidRPr="0018740B">
        <w:rPr>
          <w:i/>
        </w:rPr>
        <w:t xml:space="preserve"> pour l’articulation de l’ensemble des mesures entre elles.</w:t>
      </w:r>
    </w:p>
    <w:p w14:paraId="3248ABB7" w14:textId="77777777" w:rsidR="003403D0" w:rsidRPr="006B3002" w:rsidRDefault="003403D0" w:rsidP="00114EBB">
      <w:pPr>
        <w:pStyle w:val="Sansinterligne"/>
        <w:pBdr>
          <w:top w:val="dotted" w:sz="4" w:space="1" w:color="002060"/>
          <w:left w:val="dotted" w:sz="4" w:space="4" w:color="002060"/>
          <w:bottom w:val="dotted" w:sz="4" w:space="1" w:color="002060"/>
          <w:right w:val="dotted" w:sz="4" w:space="4" w:color="002060"/>
        </w:pBdr>
        <w:jc w:val="both"/>
        <w:rPr>
          <w:i/>
        </w:rPr>
      </w:pPr>
    </w:p>
    <w:p w14:paraId="05BE26C9" w14:textId="71D23A80" w:rsidR="002A7DAF" w:rsidRPr="006B3002" w:rsidRDefault="002A7DAF" w:rsidP="002C3226">
      <w:pPr>
        <w:pStyle w:val="Sansinterligne"/>
        <w:jc w:val="both"/>
        <w:rPr>
          <w:rFonts w:cstheme="minorHAnsi"/>
          <w:bCs/>
          <w:iCs/>
        </w:rPr>
      </w:pPr>
    </w:p>
    <w:p w14:paraId="291B2C53" w14:textId="77777777" w:rsidR="005176DB" w:rsidRPr="006B3002" w:rsidRDefault="005176DB" w:rsidP="002C3226">
      <w:pPr>
        <w:pStyle w:val="Sansinterligne"/>
        <w:jc w:val="both"/>
        <w:rPr>
          <w:rFonts w:cstheme="minorHAnsi"/>
          <w:bCs/>
          <w:iCs/>
        </w:rPr>
      </w:pPr>
    </w:p>
    <w:p w14:paraId="41214B3E" w14:textId="77777777" w:rsidR="000C0046" w:rsidRPr="006B3002" w:rsidRDefault="000C0046">
      <w:pPr>
        <w:rPr>
          <w:rFonts w:asciiTheme="minorHAnsi" w:hAnsiTheme="minorHAnsi" w:cstheme="minorHAnsi"/>
          <w:b/>
          <w:iCs/>
          <w:color w:val="002060"/>
        </w:rPr>
      </w:pPr>
      <w:r w:rsidRPr="006B3002">
        <w:rPr>
          <w:rFonts w:asciiTheme="minorHAnsi" w:hAnsiTheme="minorHAnsi" w:cstheme="minorHAnsi"/>
          <w:b/>
          <w:iCs/>
          <w:color w:val="002060"/>
        </w:rPr>
        <w:br w:type="page"/>
      </w:r>
    </w:p>
    <w:p w14:paraId="4A0D3AB9" w14:textId="742DF266" w:rsidR="007C1859" w:rsidRPr="006B3002" w:rsidRDefault="000C0046" w:rsidP="00D7041B">
      <w:pPr>
        <w:pStyle w:val="Sansinterligne"/>
        <w:numPr>
          <w:ilvl w:val="0"/>
          <w:numId w:val="36"/>
        </w:numPr>
        <w:jc w:val="both"/>
        <w:rPr>
          <w:rFonts w:cstheme="minorHAnsi"/>
          <w:b/>
          <w:iCs/>
          <w:color w:val="002060"/>
          <w:sz w:val="24"/>
          <w:szCs w:val="24"/>
        </w:rPr>
      </w:pPr>
      <w:r w:rsidRPr="006B3002">
        <w:rPr>
          <w:rFonts w:cstheme="minorHAnsi"/>
          <w:b/>
          <w:iCs/>
          <w:color w:val="002060"/>
          <w:sz w:val="24"/>
          <w:szCs w:val="24"/>
        </w:rPr>
        <w:lastRenderedPageBreak/>
        <w:t>BASE JURIDIQUE DES INTERDICTIONS</w:t>
      </w:r>
    </w:p>
    <w:p w14:paraId="26879950" w14:textId="77777777" w:rsidR="007C1859" w:rsidRPr="006B3002" w:rsidRDefault="007C1859" w:rsidP="002C3226">
      <w:pPr>
        <w:pStyle w:val="Sansinterligne"/>
        <w:jc w:val="both"/>
        <w:rPr>
          <w:rFonts w:cstheme="minorHAnsi"/>
          <w:bCs/>
          <w:iCs/>
        </w:rPr>
      </w:pPr>
    </w:p>
    <w:p w14:paraId="377EBD85" w14:textId="5F1653E6" w:rsidR="00751160" w:rsidRPr="006B3002" w:rsidRDefault="00751160" w:rsidP="00751160">
      <w:pPr>
        <w:pStyle w:val="Sansinterligne"/>
        <w:numPr>
          <w:ilvl w:val="0"/>
          <w:numId w:val="21"/>
        </w:numPr>
        <w:ind w:left="360"/>
        <w:jc w:val="both"/>
        <w:rPr>
          <w:rFonts w:cstheme="minorHAnsi"/>
          <w:b/>
        </w:rPr>
      </w:pPr>
      <w:r w:rsidRPr="006B3002">
        <w:rPr>
          <w:rFonts w:cstheme="minorHAnsi"/>
          <w:b/>
        </w:rPr>
        <w:t xml:space="preserve">La directive 2019/904 relative à la réduction de l’incidence de certains produits en plastique sur l’environnement (SUP) du 5 juin 2019 </w:t>
      </w:r>
      <w:r w:rsidRPr="006B3002">
        <w:rPr>
          <w:rFonts w:cstheme="minorHAnsi"/>
        </w:rPr>
        <w:t xml:space="preserve">contient notamment des mesures d’interdiction de certains produits plastique, de réduction à la mise sur le marché de certains emballages composés de plastique ainsi que des objectifs de collecte et de recyclage et d’éco-conception (bouchon solidaire, incorporation de matières premières recyclées). </w:t>
      </w:r>
    </w:p>
    <w:p w14:paraId="769D86B4" w14:textId="77777777" w:rsidR="00AA28F6" w:rsidRPr="006B3002" w:rsidRDefault="00AA28F6" w:rsidP="00AA28F6">
      <w:pPr>
        <w:pStyle w:val="Sansinterligne"/>
        <w:ind w:left="360"/>
        <w:jc w:val="both"/>
        <w:rPr>
          <w:rFonts w:cstheme="minorHAnsi"/>
          <w:b/>
        </w:rPr>
      </w:pPr>
    </w:p>
    <w:p w14:paraId="24C61B69" w14:textId="321FE7A1" w:rsidR="00AA28F6" w:rsidRPr="006B3002" w:rsidRDefault="00AA28F6" w:rsidP="00AA28F6">
      <w:pPr>
        <w:pStyle w:val="Sansinterligne"/>
        <w:numPr>
          <w:ilvl w:val="0"/>
          <w:numId w:val="21"/>
        </w:numPr>
        <w:ind w:left="360"/>
        <w:jc w:val="both"/>
        <w:rPr>
          <w:rFonts w:cstheme="minorHAnsi"/>
          <w:b/>
          <w:bCs/>
        </w:rPr>
      </w:pPr>
      <w:r w:rsidRPr="006B3002">
        <w:rPr>
          <w:rFonts w:cstheme="minorHAnsi"/>
          <w:b/>
          <w:bCs/>
        </w:rPr>
        <w:t xml:space="preserve">La lettre d’octobre 2019 </w:t>
      </w:r>
      <w:r w:rsidRPr="006B3002">
        <w:rPr>
          <w:rFonts w:cstheme="minorHAnsi"/>
        </w:rPr>
        <w:t xml:space="preserve">envoyée aux ambassadeurs des États Membres par la Commission européenne </w:t>
      </w:r>
      <w:r w:rsidRPr="006B3002">
        <w:rPr>
          <w:rFonts w:cstheme="minorHAnsi"/>
          <w:b/>
          <w:bCs/>
        </w:rPr>
        <w:t xml:space="preserve">concernant la transposition et la mise en application </w:t>
      </w:r>
      <w:r w:rsidR="00500ABF" w:rsidRPr="006B3002">
        <w:rPr>
          <w:rFonts w:cstheme="minorHAnsi"/>
          <w:b/>
        </w:rPr>
        <w:t>en droit national</w:t>
      </w:r>
      <w:r w:rsidR="00500ABF" w:rsidRPr="006B3002">
        <w:rPr>
          <w:rFonts w:cstheme="minorHAnsi"/>
          <w:b/>
          <w:bCs/>
        </w:rPr>
        <w:t xml:space="preserve"> </w:t>
      </w:r>
      <w:r w:rsidRPr="006B3002">
        <w:rPr>
          <w:rFonts w:cstheme="minorHAnsi"/>
          <w:b/>
          <w:bCs/>
        </w:rPr>
        <w:t xml:space="preserve">de la directive 2019/904 </w:t>
      </w:r>
      <w:r w:rsidRPr="006B3002">
        <w:rPr>
          <w:rFonts w:cstheme="minorHAnsi"/>
          <w:bCs/>
        </w:rPr>
        <w:t>relative à la réduction de l’incidence de certains produits en plastique sur l’environnement (SUP) du 5 juin 2019</w:t>
      </w:r>
      <w:r w:rsidR="00E40D98" w:rsidRPr="006B3002">
        <w:rPr>
          <w:rFonts w:cstheme="minorHAnsi"/>
          <w:bCs/>
        </w:rPr>
        <w:t xml:space="preserve">. </w:t>
      </w:r>
      <w:r w:rsidRPr="006B3002">
        <w:rPr>
          <w:rFonts w:cstheme="minorHAnsi"/>
          <w:bCs/>
        </w:rPr>
        <w:t xml:space="preserve"> </w:t>
      </w:r>
    </w:p>
    <w:p w14:paraId="14396984" w14:textId="77777777" w:rsidR="00751160" w:rsidRPr="006B3002" w:rsidRDefault="00751160" w:rsidP="00751160">
      <w:pPr>
        <w:pStyle w:val="Sansinterligne"/>
        <w:jc w:val="both"/>
        <w:rPr>
          <w:rFonts w:cstheme="minorHAnsi"/>
        </w:rPr>
      </w:pPr>
    </w:p>
    <w:p w14:paraId="5E1E24C7" w14:textId="61496ACF" w:rsidR="006656D4" w:rsidRPr="006B3002" w:rsidRDefault="00751160" w:rsidP="006656D4">
      <w:pPr>
        <w:pStyle w:val="Sansinterligne"/>
        <w:numPr>
          <w:ilvl w:val="0"/>
          <w:numId w:val="21"/>
        </w:numPr>
        <w:ind w:left="360"/>
        <w:jc w:val="both"/>
        <w:rPr>
          <w:rFonts w:cstheme="minorHAnsi"/>
          <w:b/>
          <w:bCs/>
        </w:rPr>
      </w:pPr>
      <w:r w:rsidRPr="006B3002">
        <w:rPr>
          <w:rFonts w:cstheme="minorHAnsi"/>
          <w:b/>
          <w:bCs/>
        </w:rPr>
        <w:t xml:space="preserve">La directive 94/62/CE du Parlement européen et du conseil relative aux emballages et aux déchets d’emballages du 20 décembre 1994 et modifiée le 4 juillet 2018 </w:t>
      </w:r>
      <w:r w:rsidRPr="006B3002">
        <w:rPr>
          <w:rFonts w:cstheme="minorHAnsi"/>
        </w:rPr>
        <w:t>précise ce qu’est un emballage et son article 18 prévoit un principe de liberté de mise sur le marché des emballages conformes à cette directive.</w:t>
      </w:r>
    </w:p>
    <w:p w14:paraId="6442BC6E" w14:textId="77777777" w:rsidR="00751160" w:rsidRPr="006B3002" w:rsidRDefault="00751160" w:rsidP="00751160">
      <w:pPr>
        <w:pStyle w:val="Sansinterligne"/>
        <w:jc w:val="both"/>
        <w:rPr>
          <w:rFonts w:cstheme="minorHAnsi"/>
        </w:rPr>
      </w:pPr>
    </w:p>
    <w:p w14:paraId="6F43BCC6" w14:textId="11BB86D2" w:rsidR="00751160" w:rsidRPr="006B3002" w:rsidRDefault="00751160" w:rsidP="00751160">
      <w:pPr>
        <w:pStyle w:val="Sansinterligne"/>
        <w:numPr>
          <w:ilvl w:val="0"/>
          <w:numId w:val="21"/>
        </w:numPr>
        <w:ind w:left="360"/>
        <w:jc w:val="both"/>
        <w:rPr>
          <w:rFonts w:cstheme="minorHAnsi"/>
        </w:rPr>
      </w:pPr>
      <w:r w:rsidRPr="006B3002">
        <w:rPr>
          <w:rFonts w:cstheme="minorHAnsi"/>
          <w:b/>
          <w:bCs/>
        </w:rPr>
        <w:t>L</w:t>
      </w:r>
      <w:r w:rsidR="007D589D" w:rsidRPr="006B3002">
        <w:rPr>
          <w:rFonts w:cstheme="minorHAnsi"/>
          <w:b/>
          <w:bCs/>
        </w:rPr>
        <w:t>e</w:t>
      </w:r>
      <w:r w:rsidRPr="006B3002">
        <w:rPr>
          <w:rFonts w:cstheme="minorHAnsi"/>
          <w:b/>
          <w:bCs/>
        </w:rPr>
        <w:t xml:space="preserve"> III de l’article </w:t>
      </w:r>
      <w:r w:rsidR="00804958" w:rsidRPr="006B3002">
        <w:rPr>
          <w:rFonts w:cstheme="minorHAnsi"/>
          <w:b/>
          <w:bCs/>
        </w:rPr>
        <w:t>L. 541-15-9 (anciennement L</w:t>
      </w:r>
      <w:r w:rsidRPr="006B3002">
        <w:rPr>
          <w:rFonts w:cstheme="minorHAnsi"/>
          <w:b/>
          <w:bCs/>
        </w:rPr>
        <w:t>. 541-10-5</w:t>
      </w:r>
      <w:r w:rsidR="00804958" w:rsidRPr="006B3002">
        <w:rPr>
          <w:rFonts w:cstheme="minorHAnsi"/>
          <w:b/>
          <w:bCs/>
        </w:rPr>
        <w:t>)</w:t>
      </w:r>
      <w:r w:rsidRPr="006B3002">
        <w:rPr>
          <w:rFonts w:cstheme="minorHAnsi"/>
          <w:b/>
          <w:bCs/>
        </w:rPr>
        <w:t xml:space="preserve"> du code de l’environnement :</w:t>
      </w:r>
    </w:p>
    <w:p w14:paraId="14ADD897" w14:textId="7B0746D0" w:rsidR="00751160" w:rsidRPr="006B3002" w:rsidRDefault="00E40D98" w:rsidP="00751160">
      <w:pPr>
        <w:pStyle w:val="Sansinterligne"/>
        <w:numPr>
          <w:ilvl w:val="0"/>
          <w:numId w:val="27"/>
        </w:numPr>
        <w:jc w:val="both"/>
        <w:rPr>
          <w:rFonts w:cstheme="minorHAnsi"/>
        </w:rPr>
      </w:pPr>
      <w:r w:rsidRPr="006B3002">
        <w:rPr>
          <w:rFonts w:cstheme="minorHAnsi"/>
        </w:rPr>
        <w:t>Créé</w:t>
      </w:r>
      <w:r w:rsidR="00560B49" w:rsidRPr="006B3002">
        <w:rPr>
          <w:rFonts w:cstheme="minorHAnsi"/>
        </w:rPr>
        <w:t xml:space="preserve"> par l</w:t>
      </w:r>
      <w:r w:rsidR="00751160" w:rsidRPr="006B3002">
        <w:rPr>
          <w:rFonts w:cstheme="minorHAnsi"/>
        </w:rPr>
        <w:t>a loi n°2015-992 du 17 août 2015 relative à la transition énergétique pour la croissance verte</w:t>
      </w:r>
      <w:r w:rsidR="00560B49" w:rsidRPr="006B3002">
        <w:rPr>
          <w:rFonts w:cstheme="minorHAnsi"/>
        </w:rPr>
        <w:t xml:space="preserve"> (LTECV)</w:t>
      </w:r>
      <w:r w:rsidRPr="006B3002">
        <w:rPr>
          <w:rFonts w:cstheme="minorHAnsi"/>
        </w:rPr>
        <w:t xml:space="preserve">. </w:t>
      </w:r>
    </w:p>
    <w:p w14:paraId="736EF1C0" w14:textId="0C9F83FA" w:rsidR="00445E87" w:rsidRPr="006B3002" w:rsidRDefault="00E40D98" w:rsidP="00445E87">
      <w:pPr>
        <w:pStyle w:val="Sansinterligne"/>
        <w:numPr>
          <w:ilvl w:val="0"/>
          <w:numId w:val="27"/>
        </w:numPr>
        <w:jc w:val="both"/>
        <w:rPr>
          <w:rFonts w:cstheme="minorHAnsi"/>
          <w:iCs/>
        </w:rPr>
      </w:pPr>
      <w:r w:rsidRPr="006B3002">
        <w:rPr>
          <w:rFonts w:cstheme="minorHAnsi"/>
        </w:rPr>
        <w:t>M</w:t>
      </w:r>
      <w:r w:rsidR="00751160" w:rsidRPr="006B3002">
        <w:rPr>
          <w:rFonts w:cstheme="minorHAnsi"/>
        </w:rPr>
        <w:t>odifié par l</w:t>
      </w:r>
      <w:r w:rsidR="00751160" w:rsidRPr="006B3002">
        <w:rPr>
          <w:rFonts w:cstheme="minorHAnsi"/>
          <w:bCs/>
        </w:rPr>
        <w:t>’article 28 de la loi n°2018-938 pour l’équilibre des relations commerciales dans le secteur agricole et une alimentation saine, durable et accessible à tous (</w:t>
      </w:r>
      <w:proofErr w:type="spellStart"/>
      <w:r w:rsidR="00751160" w:rsidRPr="006B3002">
        <w:rPr>
          <w:rFonts w:cstheme="minorHAnsi"/>
          <w:bCs/>
        </w:rPr>
        <w:t>EGAlim</w:t>
      </w:r>
      <w:proofErr w:type="spellEnd"/>
      <w:r w:rsidR="00751160" w:rsidRPr="006B3002">
        <w:rPr>
          <w:rFonts w:cstheme="minorHAnsi"/>
          <w:bCs/>
        </w:rPr>
        <w:t xml:space="preserve">) du 30 octobre 2018 </w:t>
      </w:r>
      <w:r w:rsidR="00CB2CBA" w:rsidRPr="006B3002">
        <w:rPr>
          <w:rFonts w:cstheme="minorHAnsi"/>
          <w:bCs/>
        </w:rPr>
        <w:t>interdisant</w:t>
      </w:r>
      <w:r w:rsidR="00751160" w:rsidRPr="006B3002">
        <w:rPr>
          <w:rFonts w:cstheme="minorHAnsi"/>
        </w:rPr>
        <w:t xml:space="preserve"> de nouveaux produits. </w:t>
      </w:r>
    </w:p>
    <w:p w14:paraId="74351557" w14:textId="7DF69617" w:rsidR="00751160" w:rsidRPr="006B3002" w:rsidRDefault="00E40D98" w:rsidP="00751160">
      <w:pPr>
        <w:pStyle w:val="Sansinterligne"/>
        <w:numPr>
          <w:ilvl w:val="0"/>
          <w:numId w:val="27"/>
        </w:numPr>
        <w:jc w:val="both"/>
        <w:rPr>
          <w:rFonts w:cstheme="minorHAnsi"/>
          <w:bCs/>
          <w:iCs/>
        </w:rPr>
      </w:pPr>
      <w:r w:rsidRPr="006B3002">
        <w:rPr>
          <w:rFonts w:cstheme="minorHAnsi"/>
        </w:rPr>
        <w:t>M</w:t>
      </w:r>
      <w:r w:rsidR="00CB2CBA" w:rsidRPr="006B3002">
        <w:rPr>
          <w:rFonts w:cstheme="minorHAnsi"/>
        </w:rPr>
        <w:t xml:space="preserve">odifié par </w:t>
      </w:r>
      <w:r w:rsidR="00CB2CBA" w:rsidRPr="006B3002">
        <w:rPr>
          <w:rFonts w:cstheme="minorHAnsi"/>
          <w:bCs/>
        </w:rPr>
        <w:t>l’article 10 de la loi</w:t>
      </w:r>
      <w:r w:rsidR="00CB2CBA" w:rsidRPr="006B3002">
        <w:rPr>
          <w:rFonts w:cstheme="minorHAnsi"/>
        </w:rPr>
        <w:t xml:space="preserve"> </w:t>
      </w:r>
      <w:proofErr w:type="spellStart"/>
      <w:r w:rsidR="00CB2CBA" w:rsidRPr="006B3002">
        <w:rPr>
          <w:rFonts w:cstheme="minorHAnsi"/>
          <w:bCs/>
          <w:highlight w:val="yellow"/>
        </w:rPr>
        <w:t>n°XXXX</w:t>
      </w:r>
      <w:proofErr w:type="spellEnd"/>
      <w:r w:rsidR="00CB2CBA" w:rsidRPr="006B3002">
        <w:rPr>
          <w:rFonts w:cstheme="minorHAnsi"/>
          <w:bCs/>
          <w:highlight w:val="yellow"/>
        </w:rPr>
        <w:t xml:space="preserve"> du XX</w:t>
      </w:r>
      <w:r w:rsidR="00CB2CBA" w:rsidRPr="006B3002">
        <w:rPr>
          <w:rFonts w:cstheme="minorHAnsi"/>
          <w:bCs/>
        </w:rPr>
        <w:t xml:space="preserve"> relative à la lutte contre le gaspillage et à l’économie circulaire</w:t>
      </w:r>
      <w:r w:rsidRPr="006B3002">
        <w:rPr>
          <w:rFonts w:cstheme="minorHAnsi"/>
          <w:bCs/>
        </w:rPr>
        <w:t xml:space="preserve">. </w:t>
      </w:r>
    </w:p>
    <w:p w14:paraId="338092D5" w14:textId="77777777" w:rsidR="00751160" w:rsidRPr="006B3002" w:rsidRDefault="00751160" w:rsidP="00751160">
      <w:pPr>
        <w:pStyle w:val="Sansinterligne"/>
        <w:ind w:left="720"/>
        <w:jc w:val="both"/>
        <w:rPr>
          <w:rFonts w:cstheme="minorHAnsi"/>
          <w:iCs/>
        </w:rPr>
      </w:pPr>
    </w:p>
    <w:p w14:paraId="668DC254" w14:textId="77777777" w:rsidR="00751160" w:rsidRPr="0018740B" w:rsidRDefault="00751160" w:rsidP="00751160">
      <w:pPr>
        <w:pStyle w:val="Sansinterligne"/>
        <w:numPr>
          <w:ilvl w:val="0"/>
          <w:numId w:val="21"/>
        </w:numPr>
        <w:ind w:left="360"/>
        <w:jc w:val="both"/>
        <w:rPr>
          <w:rFonts w:cstheme="minorHAnsi"/>
          <w:iCs/>
        </w:rPr>
      </w:pPr>
      <w:r w:rsidRPr="0018740B">
        <w:rPr>
          <w:rFonts w:cstheme="minorHAnsi"/>
          <w:b/>
          <w:bCs/>
          <w:iCs/>
        </w:rPr>
        <w:t xml:space="preserve">Les articles D. 543-294, D. 543-295 et D. 543-296 du code de l’environnement </w:t>
      </w:r>
      <w:r w:rsidRPr="0018740B">
        <w:rPr>
          <w:rFonts w:cstheme="minorHAnsi"/>
          <w:iCs/>
        </w:rPr>
        <w:t xml:space="preserve">relatifs à la mise en application des interdictions modifiés par le </w:t>
      </w:r>
      <w:r w:rsidRPr="0018740B">
        <w:rPr>
          <w:rFonts w:cstheme="minorHAnsi"/>
          <w:b/>
          <w:bCs/>
          <w:iCs/>
        </w:rPr>
        <w:t xml:space="preserve">décret n° 2019-1451 du 24 décembre 2019 relatif à l'interdiction de certains produits en plastique à usage unique : </w:t>
      </w:r>
      <w:r w:rsidRPr="0018740B">
        <w:rPr>
          <w:rFonts w:cstheme="minorHAnsi"/>
          <w:iCs/>
        </w:rPr>
        <w:t xml:space="preserve">définitions des matériaux, produits et acteurs concernés, calendrier détaillé de l’entrée en vigueur des interdictions. </w:t>
      </w:r>
    </w:p>
    <w:p w14:paraId="6764FF42" w14:textId="77777777" w:rsidR="00751160" w:rsidRPr="0018740B" w:rsidRDefault="00751160" w:rsidP="00751160">
      <w:pPr>
        <w:pStyle w:val="Sansinterligne"/>
        <w:ind w:left="360"/>
        <w:jc w:val="both"/>
        <w:rPr>
          <w:rFonts w:cstheme="minorHAnsi"/>
          <w:iCs/>
        </w:rPr>
      </w:pPr>
    </w:p>
    <w:p w14:paraId="19EA8E11" w14:textId="77777777" w:rsidR="006B3002" w:rsidRPr="0018740B" w:rsidRDefault="00751160" w:rsidP="006B3002">
      <w:pPr>
        <w:pStyle w:val="Paragraphedeliste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8740B">
        <w:rPr>
          <w:rFonts w:asciiTheme="minorHAnsi" w:hAnsiTheme="minorHAnsi" w:cstheme="minorHAnsi"/>
          <w:iCs/>
          <w:sz w:val="22"/>
          <w:szCs w:val="22"/>
        </w:rPr>
        <w:t>Un arrêté sera rédigé (</w:t>
      </w:r>
      <w:r w:rsidR="00184AE8" w:rsidRPr="0018740B">
        <w:rPr>
          <w:rFonts w:asciiTheme="minorHAnsi" w:hAnsiTheme="minorHAnsi" w:cstheme="minorHAnsi"/>
          <w:iCs/>
          <w:sz w:val="22"/>
          <w:szCs w:val="22"/>
        </w:rPr>
        <w:t xml:space="preserve">courant </w:t>
      </w:r>
      <w:r w:rsidRPr="0018740B">
        <w:rPr>
          <w:rFonts w:asciiTheme="minorHAnsi" w:hAnsiTheme="minorHAnsi" w:cstheme="minorHAnsi"/>
          <w:iCs/>
          <w:sz w:val="22"/>
          <w:szCs w:val="22"/>
        </w:rPr>
        <w:t>2020 ?) pour déterminer le pourcentage de plastique maximal autorisé dans les gobelets et verres en plastique et fixer la trajectoire de réduction de cette teneur.</w:t>
      </w:r>
    </w:p>
    <w:p w14:paraId="5658CF5B" w14:textId="77777777" w:rsidR="006B3002" w:rsidRPr="0018740B" w:rsidRDefault="006B3002" w:rsidP="006B3002">
      <w:pPr>
        <w:pStyle w:val="Paragraphedeliste"/>
        <w:rPr>
          <w:rFonts w:asciiTheme="minorHAnsi" w:hAnsiTheme="minorHAnsi" w:cstheme="minorHAnsi"/>
          <w:iCs/>
          <w:sz w:val="22"/>
          <w:szCs w:val="22"/>
        </w:rPr>
      </w:pPr>
    </w:p>
    <w:p w14:paraId="3C93BAE5" w14:textId="69BE736E" w:rsidR="006B3002" w:rsidRPr="0018740B" w:rsidRDefault="006B3002" w:rsidP="007B3593">
      <w:pPr>
        <w:pStyle w:val="Paragraphedeliste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8740B">
        <w:rPr>
          <w:rFonts w:asciiTheme="minorHAnsi" w:hAnsiTheme="minorHAnsi" w:cstheme="minorHAnsi"/>
          <w:iCs/>
          <w:sz w:val="22"/>
          <w:szCs w:val="22"/>
        </w:rPr>
        <w:t xml:space="preserve">Le </w:t>
      </w:r>
      <w:r w:rsidRPr="0018740B">
        <w:rPr>
          <w:rFonts w:asciiTheme="minorHAnsi" w:hAnsiTheme="minorHAnsi"/>
          <w:b/>
          <w:bCs/>
          <w:sz w:val="22"/>
          <w:szCs w:val="22"/>
        </w:rPr>
        <w:t xml:space="preserve">Questions / Réponses </w:t>
      </w:r>
      <w:r w:rsidRPr="0018740B">
        <w:rPr>
          <w:rFonts w:asciiTheme="minorHAnsi" w:hAnsiTheme="minorHAnsi"/>
          <w:sz w:val="22"/>
          <w:szCs w:val="22"/>
        </w:rPr>
        <w:t xml:space="preserve">publié par le Ministère de la Transition écologique et solidaire en juin 2017 sur </w:t>
      </w:r>
      <w:r w:rsidRPr="0018740B">
        <w:rPr>
          <w:rFonts w:asciiTheme="minorHAnsi" w:hAnsiTheme="minorHAnsi"/>
          <w:b/>
          <w:bCs/>
          <w:sz w:val="22"/>
          <w:szCs w:val="22"/>
        </w:rPr>
        <w:t>la limitation des gobelets, verres et assiettes jetables de cuisine pour la table en matière plastique.</w:t>
      </w:r>
    </w:p>
    <w:p w14:paraId="55F59D32" w14:textId="048F304E" w:rsidR="00D7041B" w:rsidRPr="006B3002" w:rsidRDefault="00D7041B" w:rsidP="00D7041B">
      <w:pPr>
        <w:rPr>
          <w:rFonts w:asciiTheme="minorHAnsi" w:hAnsiTheme="minorHAnsi" w:cstheme="minorHAnsi"/>
          <w:iCs/>
        </w:rPr>
      </w:pPr>
    </w:p>
    <w:p w14:paraId="254D2D97" w14:textId="77777777" w:rsidR="00B579DE" w:rsidRPr="006B3002" w:rsidRDefault="00B579DE">
      <w:pPr>
        <w:rPr>
          <w:rFonts w:asciiTheme="minorHAnsi" w:hAnsiTheme="minorHAnsi" w:cstheme="minorHAnsi"/>
          <w:b/>
          <w:iCs/>
          <w:color w:val="002060"/>
        </w:rPr>
      </w:pPr>
      <w:r w:rsidRPr="006B3002">
        <w:rPr>
          <w:rFonts w:asciiTheme="minorHAnsi" w:hAnsiTheme="minorHAnsi" w:cstheme="minorHAnsi"/>
          <w:b/>
          <w:iCs/>
          <w:color w:val="002060"/>
        </w:rPr>
        <w:br w:type="page"/>
      </w:r>
    </w:p>
    <w:p w14:paraId="5E74F7E7" w14:textId="75E03D3A" w:rsidR="0025252B" w:rsidRPr="006B3002" w:rsidRDefault="006E6BDA" w:rsidP="005A7466">
      <w:pPr>
        <w:pStyle w:val="Sansinterligne"/>
        <w:numPr>
          <w:ilvl w:val="0"/>
          <w:numId w:val="36"/>
        </w:numPr>
        <w:jc w:val="both"/>
        <w:rPr>
          <w:rFonts w:cstheme="minorHAnsi"/>
          <w:b/>
          <w:bCs/>
          <w:iCs/>
          <w:color w:val="002060"/>
          <w:sz w:val="24"/>
          <w:szCs w:val="24"/>
        </w:rPr>
      </w:pPr>
      <w:r w:rsidRPr="006B3002">
        <w:rPr>
          <w:rFonts w:cstheme="minorHAnsi"/>
          <w:b/>
          <w:iCs/>
          <w:color w:val="002060"/>
          <w:sz w:val="24"/>
          <w:szCs w:val="24"/>
        </w:rPr>
        <w:lastRenderedPageBreak/>
        <w:t xml:space="preserve">COMPARAISON DES MESURES D’INTERDICTIONS DE PRODUITS EN PLASTIQUE À USAGE UNIQUE PRÉVUES PAR LES </w:t>
      </w:r>
      <w:r w:rsidR="00AD6C49" w:rsidRPr="006B3002">
        <w:rPr>
          <w:rFonts w:cstheme="minorHAnsi"/>
          <w:b/>
          <w:iCs/>
          <w:color w:val="002060"/>
          <w:sz w:val="24"/>
          <w:szCs w:val="24"/>
        </w:rPr>
        <w:t xml:space="preserve">LOIS EGALIM, </w:t>
      </w:r>
      <w:r w:rsidR="008D5CAA" w:rsidRPr="006B3002">
        <w:rPr>
          <w:rFonts w:cstheme="minorHAnsi"/>
          <w:b/>
          <w:iCs/>
          <w:color w:val="002060"/>
          <w:sz w:val="24"/>
          <w:szCs w:val="24"/>
        </w:rPr>
        <w:t>ANTIGASPILLAGE ET LA DIRECTIVE EUROPÉENNE DU 5 JUIN 2019</w:t>
      </w:r>
    </w:p>
    <w:p w14:paraId="4D16BF4A" w14:textId="77777777" w:rsidR="005A7466" w:rsidRPr="006B3002" w:rsidRDefault="005A7466" w:rsidP="005A7466">
      <w:pPr>
        <w:pStyle w:val="Sansinterligne"/>
        <w:ind w:left="720"/>
        <w:jc w:val="both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4857524D" w14:textId="63F2F994" w:rsidR="0025252B" w:rsidRPr="006B3002" w:rsidRDefault="0025252B" w:rsidP="0025252B">
      <w:pPr>
        <w:pStyle w:val="Sansinterligne"/>
        <w:jc w:val="both"/>
        <w:rPr>
          <w:rFonts w:cstheme="minorHAnsi"/>
          <w:b/>
        </w:rPr>
      </w:pPr>
      <w:r w:rsidRPr="006B3002">
        <w:rPr>
          <w:rFonts w:cstheme="minorHAnsi"/>
          <w:bCs/>
        </w:rPr>
        <w:t xml:space="preserve">Le décret prévoit une </w:t>
      </w:r>
      <w:r w:rsidRPr="006B3002">
        <w:rPr>
          <w:rFonts w:cstheme="minorHAnsi"/>
          <w:b/>
        </w:rPr>
        <w:t>exemption d’interdiction</w:t>
      </w:r>
      <w:r w:rsidRPr="006B3002">
        <w:rPr>
          <w:rFonts w:cstheme="minorHAnsi"/>
          <w:bCs/>
        </w:rPr>
        <w:t xml:space="preserve"> </w:t>
      </w:r>
      <w:r w:rsidRPr="006B3002">
        <w:rPr>
          <w:rFonts w:cstheme="minorHAnsi"/>
          <w:b/>
        </w:rPr>
        <w:t>du 1</w:t>
      </w:r>
      <w:r w:rsidRPr="006B3002">
        <w:rPr>
          <w:rFonts w:cstheme="minorHAnsi"/>
          <w:b/>
          <w:vertAlign w:val="superscript"/>
        </w:rPr>
        <w:t>er</w:t>
      </w:r>
      <w:r w:rsidRPr="006B3002">
        <w:rPr>
          <w:rFonts w:cstheme="minorHAnsi"/>
          <w:b/>
        </w:rPr>
        <w:t xml:space="preserve"> janvier 2020 jusqu’au </w:t>
      </w:r>
      <w:r w:rsidR="000279FE" w:rsidRPr="006B3002">
        <w:rPr>
          <w:rFonts w:cstheme="minorHAnsi"/>
          <w:b/>
        </w:rPr>
        <w:t>3 juillet 202</w:t>
      </w:r>
      <w:r w:rsidR="0019707C" w:rsidRPr="006B3002">
        <w:rPr>
          <w:rFonts w:cstheme="minorHAnsi"/>
          <w:b/>
        </w:rPr>
        <w:t>1</w:t>
      </w:r>
      <w:r w:rsidRPr="006B3002">
        <w:rPr>
          <w:rFonts w:cstheme="minorHAnsi"/>
          <w:b/>
        </w:rPr>
        <w:t xml:space="preserve"> </w:t>
      </w:r>
      <w:r w:rsidRPr="006B3002">
        <w:rPr>
          <w:rFonts w:cstheme="minorHAnsi"/>
          <w:bCs/>
        </w:rPr>
        <w:t xml:space="preserve">pour les produits jetables en plastique biosourcés </w:t>
      </w:r>
      <w:r w:rsidR="000279FE" w:rsidRPr="006B3002">
        <w:rPr>
          <w:rFonts w:cstheme="minorHAnsi"/>
          <w:bCs/>
        </w:rPr>
        <w:t xml:space="preserve">et compostables en compostage domestique </w:t>
      </w:r>
      <w:r w:rsidRPr="006B3002">
        <w:rPr>
          <w:rFonts w:cstheme="minorHAnsi"/>
          <w:bCs/>
        </w:rPr>
        <w:t>(dont la</w:t>
      </w:r>
      <w:r w:rsidRPr="00006AD2">
        <w:rPr>
          <w:rFonts w:cstheme="minorHAnsi"/>
          <w:bCs/>
        </w:rPr>
        <w:t xml:space="preserve"> </w:t>
      </w:r>
      <w:r w:rsidRPr="0018740B">
        <w:rPr>
          <w:rFonts w:cstheme="minorHAnsi"/>
        </w:rPr>
        <w:t xml:space="preserve">teneur </w:t>
      </w:r>
      <w:proofErr w:type="spellStart"/>
      <w:r w:rsidRPr="0018740B">
        <w:rPr>
          <w:rFonts w:cstheme="minorHAnsi"/>
        </w:rPr>
        <w:t>biosourcée</w:t>
      </w:r>
      <w:proofErr w:type="spellEnd"/>
      <w:r w:rsidRPr="0018740B">
        <w:rPr>
          <w:rFonts w:cstheme="minorHAnsi"/>
        </w:rPr>
        <w:t xml:space="preserve"> minimale est de 50%</w:t>
      </w:r>
      <w:r w:rsidR="000279FE" w:rsidRPr="0018740B">
        <w:rPr>
          <w:rFonts w:cstheme="minorHAnsi"/>
        </w:rPr>
        <w:t xml:space="preserve"> en 2020</w:t>
      </w:r>
      <w:r w:rsidRPr="0018740B">
        <w:rPr>
          <w:rFonts w:cstheme="minorHAnsi"/>
        </w:rPr>
        <w:t>).</w:t>
      </w:r>
      <w:r w:rsidRPr="006B3002">
        <w:rPr>
          <w:rFonts w:cstheme="minorHAnsi"/>
          <w:b/>
        </w:rPr>
        <w:t xml:space="preserve"> </w:t>
      </w:r>
    </w:p>
    <w:p w14:paraId="6B897805" w14:textId="13CE5014" w:rsidR="0019707C" w:rsidRPr="006B3002" w:rsidRDefault="0019707C" w:rsidP="0025252B">
      <w:pPr>
        <w:pStyle w:val="Sansinterligne"/>
        <w:jc w:val="both"/>
        <w:rPr>
          <w:rFonts w:cstheme="minorHAnsi"/>
          <w:b/>
        </w:rPr>
      </w:pPr>
    </w:p>
    <w:p w14:paraId="6CE2D745" w14:textId="5D9D6FFA" w:rsidR="0019707C" w:rsidRPr="006B3002" w:rsidRDefault="006B3002" w:rsidP="0025252B">
      <w:pPr>
        <w:pStyle w:val="Sansinterligne"/>
        <w:jc w:val="both"/>
        <w:rPr>
          <w:rFonts w:cstheme="minorHAnsi"/>
          <w:bCs/>
        </w:rPr>
      </w:pPr>
      <w:r w:rsidRPr="006B3002">
        <w:rPr>
          <w:rFonts w:cstheme="minorHAnsi"/>
          <w:bCs/>
        </w:rPr>
        <w:t>Le code de l’environnement actuellement en vigueur</w:t>
      </w:r>
      <w:r>
        <w:rPr>
          <w:rFonts w:cstheme="minorHAnsi"/>
          <w:bCs/>
        </w:rPr>
        <w:t xml:space="preserve"> (III de l’article L541-10-5)</w:t>
      </w:r>
      <w:r w:rsidR="0019707C" w:rsidRPr="006B3002">
        <w:rPr>
          <w:rFonts w:cstheme="minorHAnsi"/>
          <w:bCs/>
        </w:rPr>
        <w:t xml:space="preserve"> prévoit </w:t>
      </w:r>
      <w:r w:rsidRPr="006B3002">
        <w:rPr>
          <w:rFonts w:cstheme="minorHAnsi"/>
          <w:bCs/>
        </w:rPr>
        <w:t xml:space="preserve">également </w:t>
      </w:r>
      <w:r w:rsidR="0019707C" w:rsidRPr="006B3002">
        <w:rPr>
          <w:rFonts w:cstheme="minorHAnsi"/>
          <w:bCs/>
        </w:rPr>
        <w:t xml:space="preserve">une exemption d’interdiction pour </w:t>
      </w:r>
      <w:r w:rsidRPr="006B3002">
        <w:rPr>
          <w:rFonts w:cstheme="minorHAnsi"/>
          <w:bCs/>
        </w:rPr>
        <w:t>les produits jetables en plastique biosourcés et compostables en compostage domestique</w:t>
      </w:r>
      <w:r w:rsidR="0019707C" w:rsidRPr="006B3002">
        <w:rPr>
          <w:rFonts w:cstheme="minorHAnsi"/>
          <w:bCs/>
        </w:rPr>
        <w:t>, mais cette exemption n’existe plus dans la loi anti</w:t>
      </w:r>
      <w:r w:rsidR="00006AD2">
        <w:rPr>
          <w:rFonts w:cstheme="minorHAnsi"/>
          <w:bCs/>
        </w:rPr>
        <w:t>-</w:t>
      </w:r>
      <w:r w:rsidR="0019707C" w:rsidRPr="006B3002">
        <w:rPr>
          <w:rFonts w:cstheme="minorHAnsi"/>
          <w:bCs/>
        </w:rPr>
        <w:t xml:space="preserve">gaspillage. </w:t>
      </w:r>
      <w:r>
        <w:rPr>
          <w:rFonts w:cstheme="minorHAnsi"/>
          <w:bCs/>
        </w:rPr>
        <w:t>Il conviendra de</w:t>
      </w:r>
      <w:r w:rsidR="0019707C" w:rsidRPr="006B3002">
        <w:rPr>
          <w:rFonts w:cstheme="minorHAnsi"/>
          <w:bCs/>
        </w:rPr>
        <w:t xml:space="preserve"> </w:t>
      </w:r>
      <w:r>
        <w:rPr>
          <w:rFonts w:cstheme="minorHAnsi"/>
          <w:bCs/>
        </w:rPr>
        <w:t>déterminer</w:t>
      </w:r>
      <w:r w:rsidR="0019707C" w:rsidRPr="006B3002">
        <w:rPr>
          <w:rFonts w:cstheme="minorHAnsi"/>
          <w:bCs/>
        </w:rPr>
        <w:t xml:space="preserve"> si le décret sera modifié en conséquence.</w:t>
      </w:r>
    </w:p>
    <w:p w14:paraId="4C3DBA29" w14:textId="77777777" w:rsidR="0025252B" w:rsidRPr="006B3002" w:rsidRDefault="0025252B" w:rsidP="0025252B">
      <w:pPr>
        <w:rPr>
          <w:rFonts w:asciiTheme="minorHAnsi" w:hAnsiTheme="minorHAnsi" w:cstheme="minorHAnsi"/>
          <w:bCs/>
          <w:sz w:val="22"/>
          <w:szCs w:val="22"/>
        </w:rPr>
      </w:pPr>
    </w:p>
    <w:p w14:paraId="55DCA97E" w14:textId="23CB9F5B" w:rsidR="000279FE" w:rsidRDefault="0025252B" w:rsidP="00A579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002">
        <w:rPr>
          <w:rFonts w:asciiTheme="minorHAnsi" w:hAnsiTheme="minorHAnsi" w:cstheme="minorHAnsi"/>
          <w:bCs/>
          <w:sz w:val="22"/>
          <w:szCs w:val="22"/>
        </w:rPr>
        <w:t xml:space="preserve">Le décret n° 2019-1451 du 24 décembre 2019 relatif à l'interdiction de certains produits en plastique à usage unique interdit les emballages à compter du 3 juillet 2021. </w:t>
      </w:r>
      <w:r w:rsidR="000279FE" w:rsidRPr="006B3002">
        <w:rPr>
          <w:rFonts w:asciiTheme="minorHAnsi" w:hAnsiTheme="minorHAnsi" w:cstheme="minorHAnsi"/>
          <w:bCs/>
          <w:sz w:val="22"/>
          <w:szCs w:val="22"/>
        </w:rPr>
        <w:t xml:space="preserve">Il conviendra de déterminer si </w:t>
      </w:r>
      <w:r w:rsidR="006B3002">
        <w:rPr>
          <w:rFonts w:asciiTheme="minorHAnsi" w:hAnsiTheme="minorHAnsi" w:cstheme="minorHAnsi"/>
          <w:bCs/>
          <w:sz w:val="22"/>
          <w:szCs w:val="22"/>
        </w:rPr>
        <w:t>les</w:t>
      </w:r>
      <w:r w:rsidR="000279FE" w:rsidRPr="006B3002">
        <w:rPr>
          <w:rFonts w:asciiTheme="minorHAnsi" w:hAnsiTheme="minorHAnsi" w:cstheme="minorHAnsi"/>
          <w:bCs/>
          <w:sz w:val="22"/>
          <w:szCs w:val="22"/>
        </w:rPr>
        <w:t xml:space="preserve"> exemptions </w:t>
      </w:r>
      <w:r w:rsidR="006B3002">
        <w:rPr>
          <w:rFonts w:asciiTheme="minorHAnsi" w:hAnsiTheme="minorHAnsi" w:cstheme="minorHAnsi"/>
          <w:bCs/>
          <w:sz w:val="22"/>
          <w:szCs w:val="22"/>
        </w:rPr>
        <w:t xml:space="preserve">concernant les emballages </w:t>
      </w:r>
      <w:r w:rsidR="000279FE" w:rsidRPr="006B3002">
        <w:rPr>
          <w:rFonts w:asciiTheme="minorHAnsi" w:hAnsiTheme="minorHAnsi" w:cstheme="minorHAnsi"/>
          <w:bCs/>
          <w:sz w:val="22"/>
          <w:szCs w:val="22"/>
        </w:rPr>
        <w:t>sont maintenues</w:t>
      </w:r>
      <w:r w:rsidR="00843398" w:rsidRPr="006B3002">
        <w:rPr>
          <w:rFonts w:asciiTheme="minorHAnsi" w:hAnsiTheme="minorHAnsi" w:cstheme="minorHAnsi"/>
          <w:bCs/>
          <w:sz w:val="22"/>
          <w:szCs w:val="22"/>
        </w:rPr>
        <w:t xml:space="preserve"> avec la loi modifiée</w:t>
      </w:r>
      <w:r w:rsidR="000279FE" w:rsidRPr="006B3002">
        <w:rPr>
          <w:rFonts w:asciiTheme="minorHAnsi" w:hAnsiTheme="minorHAnsi" w:cstheme="minorHAnsi"/>
          <w:bCs/>
          <w:sz w:val="22"/>
          <w:szCs w:val="22"/>
        </w:rPr>
        <w:t>, et</w:t>
      </w:r>
      <w:r w:rsidR="00843398" w:rsidRPr="006B3002">
        <w:rPr>
          <w:rFonts w:asciiTheme="minorHAnsi" w:hAnsiTheme="minorHAnsi" w:cstheme="minorHAnsi"/>
          <w:bCs/>
          <w:sz w:val="22"/>
          <w:szCs w:val="22"/>
        </w:rPr>
        <w:t xml:space="preserve"> si oui,</w:t>
      </w:r>
      <w:r w:rsidR="000279FE" w:rsidRPr="006B3002">
        <w:rPr>
          <w:rFonts w:asciiTheme="minorHAnsi" w:hAnsiTheme="minorHAnsi" w:cstheme="minorHAnsi"/>
          <w:bCs/>
          <w:sz w:val="22"/>
          <w:szCs w:val="22"/>
        </w:rPr>
        <w:t xml:space="preserve"> dans le même calendrier</w:t>
      </w:r>
      <w:r w:rsidR="00843398" w:rsidRPr="006B300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5AD2BD1" w14:textId="139C3AF9" w:rsidR="00A579E2" w:rsidRDefault="00A579E2" w:rsidP="00A579E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EBABC3" w14:textId="752CFEDC" w:rsidR="00A579E2" w:rsidRPr="006B3002" w:rsidRDefault="00F81CAF" w:rsidP="00A579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Pour les interdictions levées par la loi anti</w:t>
      </w:r>
      <w:r w:rsidR="00006AD2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gaspillage (plateaux-repas, pots à glace, saladiers et boîtes), le décret </w:t>
      </w:r>
      <w:r w:rsidRPr="006B3002">
        <w:rPr>
          <w:rFonts w:asciiTheme="minorHAnsi" w:hAnsiTheme="minorHAnsi" w:cstheme="minorHAnsi"/>
          <w:bCs/>
          <w:sz w:val="22"/>
          <w:szCs w:val="22"/>
        </w:rPr>
        <w:t>n° 2019-1451 du 24 décembre 2019</w:t>
      </w:r>
      <w:r w:rsidR="00006AD2">
        <w:rPr>
          <w:rFonts w:asciiTheme="minorHAnsi" w:hAnsiTheme="minorHAnsi" w:cstheme="minorHAnsi"/>
          <w:bCs/>
          <w:sz w:val="22"/>
          <w:szCs w:val="22"/>
        </w:rPr>
        <w:t xml:space="preserve"> ne s’applique, de fait, plus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auGrille4-Accentuation11"/>
        <w:tblpPr w:leftFromText="141" w:rightFromText="141" w:vertAnchor="text" w:horzAnchor="margin" w:tblpXSpec="center" w:tblpY="691"/>
        <w:tblW w:w="15493" w:type="dxa"/>
        <w:tblLook w:val="04A0" w:firstRow="1" w:lastRow="0" w:firstColumn="1" w:lastColumn="0" w:noHBand="0" w:noVBand="1"/>
      </w:tblPr>
      <w:tblGrid>
        <w:gridCol w:w="1780"/>
        <w:gridCol w:w="4339"/>
        <w:gridCol w:w="4868"/>
        <w:gridCol w:w="4506"/>
      </w:tblGrid>
      <w:tr w:rsidR="005314B5" w:rsidRPr="006B3002" w14:paraId="0108B9EC" w14:textId="77777777" w:rsidTr="00531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99508B9" w14:textId="77777777" w:rsidR="005314B5" w:rsidRPr="006B3002" w:rsidRDefault="005314B5" w:rsidP="005314B5">
            <w:pPr>
              <w:pStyle w:val="Sansinterligne"/>
              <w:jc w:val="center"/>
              <w:rPr>
                <w:rFonts w:cstheme="minorHAnsi"/>
                <w:b w:val="0"/>
              </w:rPr>
            </w:pPr>
            <w:r w:rsidRPr="006B3002">
              <w:rPr>
                <w:rFonts w:cstheme="minorHAnsi"/>
                <w:bCs w:val="0"/>
              </w:rPr>
              <w:t xml:space="preserve">Produit </w:t>
            </w:r>
          </w:p>
          <w:p w14:paraId="057C51EA" w14:textId="77777777" w:rsidR="005314B5" w:rsidRPr="006B3002" w:rsidRDefault="005314B5" w:rsidP="005314B5">
            <w:pPr>
              <w:pStyle w:val="Sansinterligne"/>
              <w:jc w:val="center"/>
              <w:rPr>
                <w:rFonts w:cstheme="minorHAnsi"/>
                <w:b w:val="0"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Cs w:val="0"/>
              </w:rPr>
              <w:t>concerné</w:t>
            </w:r>
          </w:p>
        </w:tc>
        <w:tc>
          <w:tcPr>
            <w:tcW w:w="4339" w:type="dxa"/>
          </w:tcPr>
          <w:p w14:paraId="0D5F3409" w14:textId="77777777" w:rsidR="005314B5" w:rsidRPr="006B3002" w:rsidRDefault="005314B5" w:rsidP="005314B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3002">
              <w:rPr>
                <w:rFonts w:cstheme="minorHAnsi"/>
                <w:bCs w:val="0"/>
              </w:rPr>
              <w:t>Directive européenne 2019/904 (SUP)</w:t>
            </w:r>
          </w:p>
        </w:tc>
        <w:tc>
          <w:tcPr>
            <w:tcW w:w="4868" w:type="dxa"/>
          </w:tcPr>
          <w:p w14:paraId="185BEF53" w14:textId="77777777" w:rsidR="005314B5" w:rsidRPr="006B3002" w:rsidRDefault="005314B5" w:rsidP="005314B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B3002">
              <w:rPr>
                <w:rFonts w:cstheme="minorHAnsi"/>
                <w:bCs w:val="0"/>
              </w:rPr>
              <w:t xml:space="preserve">Loi </w:t>
            </w:r>
            <w:proofErr w:type="spellStart"/>
            <w:r w:rsidRPr="006B3002">
              <w:rPr>
                <w:rFonts w:cstheme="minorHAnsi"/>
                <w:bCs w:val="0"/>
              </w:rPr>
              <w:t>EGAlim</w:t>
            </w:r>
            <w:proofErr w:type="spellEnd"/>
            <w:r w:rsidRPr="006B3002">
              <w:rPr>
                <w:rFonts w:cstheme="minorHAnsi"/>
                <w:bCs w:val="0"/>
              </w:rPr>
              <w:t xml:space="preserve"> et décret du 24/12/2019</w:t>
            </w:r>
          </w:p>
        </w:tc>
        <w:tc>
          <w:tcPr>
            <w:tcW w:w="4506" w:type="dxa"/>
          </w:tcPr>
          <w:p w14:paraId="19F90385" w14:textId="77777777" w:rsidR="005314B5" w:rsidRPr="006B3002" w:rsidRDefault="005314B5" w:rsidP="005314B5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B3002">
              <w:rPr>
                <w:rFonts w:cstheme="minorHAnsi"/>
                <w:bCs w:val="0"/>
              </w:rPr>
              <w:t>Loi anti-gaspillage</w:t>
            </w:r>
          </w:p>
        </w:tc>
      </w:tr>
      <w:tr w:rsidR="005314B5" w:rsidRPr="006B3002" w14:paraId="1FA2BA5C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6D1337A" w14:textId="77777777" w:rsidR="005314B5" w:rsidRPr="006B3002" w:rsidRDefault="005314B5" w:rsidP="005314B5">
            <w:pPr>
              <w:pStyle w:val="Sansinterligne"/>
              <w:rPr>
                <w:rFonts w:cstheme="minorHAnsi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Gobelets et verres</w:t>
            </w:r>
          </w:p>
        </w:tc>
        <w:tc>
          <w:tcPr>
            <w:tcW w:w="4339" w:type="dxa"/>
          </w:tcPr>
          <w:p w14:paraId="62B0B79F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2850FD34" w14:textId="77777777" w:rsidR="00BC045E" w:rsidRPr="006B3002" w:rsidRDefault="00BC045E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0812E12" w14:textId="77777777" w:rsidR="005314B5" w:rsidRPr="006B3002" w:rsidRDefault="005314B5" w:rsidP="00BC045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u w:val="single"/>
              </w:rPr>
            </w:pPr>
            <w:r w:rsidRPr="006B3002">
              <w:rPr>
                <w:rFonts w:cstheme="minorHAnsi"/>
                <w:bCs/>
              </w:rPr>
              <w:t>Réduction significative d’ici à 2026 par rapport à 2022</w:t>
            </w:r>
          </w:p>
        </w:tc>
        <w:tc>
          <w:tcPr>
            <w:tcW w:w="4868" w:type="dxa"/>
          </w:tcPr>
          <w:p w14:paraId="66D1442D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  <w:r w:rsidRPr="006B3002">
              <w:rPr>
                <w:rFonts w:cstheme="minorHAnsi"/>
                <w:b/>
                <w:bCs/>
              </w:rPr>
              <w:t xml:space="preserve"> </w:t>
            </w:r>
          </w:p>
          <w:p w14:paraId="053151CF" w14:textId="77777777" w:rsidR="005314B5" w:rsidRPr="0018740B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B3002">
              <w:rPr>
                <w:rFonts w:cstheme="minorHAnsi"/>
                <w:b/>
                <w:bCs/>
                <w:iCs/>
              </w:rPr>
              <w:t>Interdiction</w:t>
            </w:r>
            <w:r w:rsidRPr="006B3002">
              <w:rPr>
                <w:rFonts w:cstheme="minorHAnsi"/>
                <w:bCs/>
                <w:iCs/>
              </w:rPr>
              <w:t xml:space="preserve"> si composés de </w:t>
            </w:r>
            <w:r w:rsidRPr="0018740B">
              <w:rPr>
                <w:rFonts w:cstheme="minorHAnsi"/>
                <w:bCs/>
                <w:iCs/>
              </w:rPr>
              <w:t>100% plastique</w:t>
            </w:r>
            <w:r w:rsidRPr="0018740B">
              <w:rPr>
                <w:rFonts w:cstheme="minorHAnsi"/>
                <w:iCs/>
              </w:rPr>
              <w:t xml:space="preserve"> </w:t>
            </w:r>
            <w:r w:rsidRPr="0018740B">
              <w:rPr>
                <w:rFonts w:cstheme="minorHAnsi"/>
                <w:b/>
                <w:iCs/>
              </w:rPr>
              <w:t>et non emballages</w:t>
            </w:r>
            <w:r w:rsidRPr="0018740B">
              <w:rPr>
                <w:rFonts w:cstheme="minorHAnsi"/>
                <w:b/>
              </w:rPr>
              <w:t xml:space="preserve"> </w:t>
            </w:r>
          </w:p>
          <w:p w14:paraId="501C3569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539D45C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(décret)</w:t>
            </w:r>
          </w:p>
          <w:p w14:paraId="4259EA8F" w14:textId="548B4C2F" w:rsidR="005314B5" w:rsidRPr="006B3002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</w:t>
            </w:r>
            <w:r w:rsidRPr="0018740B">
              <w:rPr>
                <w:rFonts w:cstheme="minorHAnsi"/>
                <w:bCs/>
              </w:rPr>
              <w:t xml:space="preserve">si composés </w:t>
            </w:r>
            <w:r w:rsidRPr="0018740B">
              <w:rPr>
                <w:rFonts w:cstheme="minorHAnsi"/>
              </w:rPr>
              <w:t>entièrement ou partiellement de plastique dont la teneur est supérieure à celle autorisée par un arrêté (avec réduction progressive de la teneur dans le temps), y compris si emballage</w:t>
            </w:r>
          </w:p>
        </w:tc>
        <w:tc>
          <w:tcPr>
            <w:tcW w:w="4506" w:type="dxa"/>
          </w:tcPr>
          <w:p w14:paraId="0E885794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  <w:r w:rsidRPr="006B3002">
              <w:rPr>
                <w:rFonts w:cstheme="minorHAnsi"/>
                <w:b/>
                <w:bCs/>
              </w:rPr>
              <w:t xml:space="preserve"> </w:t>
            </w:r>
          </w:p>
          <w:p w14:paraId="56DC6C73" w14:textId="77777777" w:rsidR="005314B5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</w:rPr>
            </w:pPr>
            <w:r w:rsidRPr="006B3002">
              <w:rPr>
                <w:rFonts w:cstheme="minorHAnsi"/>
                <w:b/>
                <w:bCs/>
                <w:iCs/>
              </w:rPr>
              <w:t>Interdiction</w:t>
            </w:r>
            <w:r w:rsidRPr="006B3002">
              <w:rPr>
                <w:rFonts w:cstheme="minorHAnsi"/>
                <w:bCs/>
                <w:iCs/>
              </w:rPr>
              <w:t xml:space="preserve"> si </w:t>
            </w:r>
            <w:r w:rsidRPr="0018740B">
              <w:rPr>
                <w:rFonts w:cstheme="minorHAnsi"/>
                <w:bCs/>
                <w:iCs/>
              </w:rPr>
              <w:t>composés de 100% plastique</w:t>
            </w:r>
            <w:r w:rsidRPr="0018740B">
              <w:rPr>
                <w:rFonts w:cstheme="minorHAnsi"/>
                <w:iCs/>
              </w:rPr>
              <w:t xml:space="preserve"> et </w:t>
            </w:r>
            <w:r w:rsidRPr="0018740B">
              <w:rPr>
                <w:rFonts w:cstheme="minorHAnsi"/>
                <w:b/>
                <w:iCs/>
              </w:rPr>
              <w:t>non emballages</w:t>
            </w:r>
          </w:p>
          <w:p w14:paraId="71BA4C83" w14:textId="77777777" w:rsidR="00A579E2" w:rsidRDefault="00A579E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1F948443" w14:textId="01F11A5E" w:rsidR="00A579E2" w:rsidRPr="00A579E2" w:rsidRDefault="00A579E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579E2">
              <w:rPr>
                <w:rFonts w:cstheme="minorHAnsi"/>
                <w:b/>
                <w:bCs/>
              </w:rPr>
              <w:t>Reprise du décret ?</w:t>
            </w:r>
          </w:p>
        </w:tc>
      </w:tr>
      <w:tr w:rsidR="005314B5" w:rsidRPr="006B3002" w14:paraId="247E9A11" w14:textId="77777777" w:rsidTr="005314B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0D421DB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lastRenderedPageBreak/>
              <w:t>Assiettes jetables de cuisine pour la table</w:t>
            </w:r>
          </w:p>
        </w:tc>
        <w:tc>
          <w:tcPr>
            <w:tcW w:w="4339" w:type="dxa"/>
          </w:tcPr>
          <w:p w14:paraId="25239E82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6284B3CC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de toutes les assiettes en plastique, y compris</w:t>
            </w:r>
            <w:r w:rsidRPr="006B3002">
              <w:rPr>
                <w:rFonts w:cstheme="minorHAnsi"/>
                <w:b/>
              </w:rPr>
              <w:t xml:space="preserve"> </w:t>
            </w:r>
            <w:r w:rsidRPr="006B3002">
              <w:rPr>
                <w:rFonts w:cstheme="minorHAnsi"/>
              </w:rPr>
              <w:t>celles avec un</w:t>
            </w:r>
            <w:r w:rsidRPr="006B3002">
              <w:rPr>
                <w:rFonts w:cstheme="minorHAnsi"/>
                <w:b/>
              </w:rPr>
              <w:t xml:space="preserve"> film plastique et si emballage</w:t>
            </w:r>
          </w:p>
        </w:tc>
        <w:tc>
          <w:tcPr>
            <w:tcW w:w="4868" w:type="dxa"/>
          </w:tcPr>
          <w:p w14:paraId="17F27965" w14:textId="77777777" w:rsidR="005314B5" w:rsidRPr="004B05D1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u w:val="single"/>
              </w:rPr>
            </w:pPr>
            <w:r w:rsidRPr="004B05D1">
              <w:rPr>
                <w:rFonts w:cstheme="minorHAnsi"/>
                <w:b/>
                <w:bCs/>
                <w:iCs/>
                <w:u w:val="single"/>
              </w:rPr>
              <w:t>1</w:t>
            </w:r>
            <w:r w:rsidRPr="004B05D1">
              <w:rPr>
                <w:rFonts w:cstheme="minorHAnsi"/>
                <w:b/>
                <w:bCs/>
                <w:iCs/>
                <w:u w:val="single"/>
                <w:vertAlign w:val="superscript"/>
              </w:rPr>
              <w:t>er</w:t>
            </w:r>
            <w:r w:rsidRPr="004B05D1">
              <w:rPr>
                <w:rFonts w:cstheme="minorHAnsi"/>
                <w:b/>
                <w:bCs/>
                <w:iCs/>
                <w:u w:val="single"/>
              </w:rPr>
              <w:t xml:space="preserve"> janvier 2020</w:t>
            </w:r>
          </w:p>
          <w:p w14:paraId="6F647B34" w14:textId="2DBC8F5C" w:rsidR="004037C3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4B05D1">
              <w:rPr>
                <w:rFonts w:cstheme="minorHAnsi"/>
                <w:b/>
                <w:bCs/>
                <w:iCs/>
              </w:rPr>
              <w:t>Interdiction</w:t>
            </w:r>
            <w:r w:rsidRPr="004B05D1">
              <w:rPr>
                <w:rFonts w:cstheme="minorHAnsi"/>
                <w:bCs/>
                <w:iCs/>
              </w:rPr>
              <w:t xml:space="preserve"> si composées de 100% plastique et </w:t>
            </w:r>
            <w:r w:rsidRPr="004B05D1">
              <w:rPr>
                <w:rFonts w:cstheme="minorHAnsi"/>
                <w:b/>
                <w:iCs/>
              </w:rPr>
              <w:t xml:space="preserve">non emballages </w:t>
            </w:r>
            <w:r w:rsidRPr="004B05D1">
              <w:rPr>
                <w:rFonts w:cstheme="minorHAnsi"/>
                <w:iCs/>
              </w:rPr>
              <w:t xml:space="preserve">(ces produits peuvent être vendus en </w:t>
            </w:r>
            <w:proofErr w:type="spellStart"/>
            <w:r w:rsidRPr="004B05D1">
              <w:rPr>
                <w:rFonts w:cstheme="minorHAnsi"/>
                <w:iCs/>
              </w:rPr>
              <w:t>BtoB</w:t>
            </w:r>
            <w:proofErr w:type="spellEnd"/>
            <w:r w:rsidRPr="004B05D1">
              <w:rPr>
                <w:rFonts w:cstheme="minorHAnsi"/>
                <w:iCs/>
              </w:rPr>
              <w:t xml:space="preserve"> si il sont utilisés comme emballage - remplis ou conçus pour être remplis (d’aliments ou de boissons) au point de vente-).</w:t>
            </w:r>
          </w:p>
          <w:p w14:paraId="5A3A3D39" w14:textId="77777777" w:rsidR="0018740B" w:rsidRPr="004B05D1" w:rsidRDefault="0018740B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3002C744" w14:textId="77777777" w:rsidR="005314B5" w:rsidRPr="004B05D1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4B05D1">
              <w:rPr>
                <w:rFonts w:cstheme="minorHAnsi"/>
                <w:b/>
                <w:bCs/>
                <w:iCs/>
                <w:u w:val="single"/>
              </w:rPr>
              <w:t>3 juillet 2021 (décret)</w:t>
            </w:r>
          </w:p>
          <w:p w14:paraId="75A343C8" w14:textId="77777777" w:rsidR="005314B5" w:rsidRPr="004B05D1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4B05D1">
              <w:rPr>
                <w:rFonts w:cstheme="minorHAnsi"/>
                <w:b/>
                <w:bCs/>
                <w:iCs/>
              </w:rPr>
              <w:t>Interdiction</w:t>
            </w:r>
            <w:r w:rsidRPr="004B05D1">
              <w:rPr>
                <w:rFonts w:cstheme="minorHAnsi"/>
                <w:bCs/>
                <w:iCs/>
              </w:rPr>
              <w:t xml:space="preserve"> de toutes les assiettes (idem SUP)</w:t>
            </w:r>
          </w:p>
        </w:tc>
        <w:tc>
          <w:tcPr>
            <w:tcW w:w="4506" w:type="dxa"/>
          </w:tcPr>
          <w:p w14:paraId="136C45D2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u w:val="single"/>
              </w:rPr>
            </w:pPr>
            <w:r w:rsidRPr="006B3002">
              <w:rPr>
                <w:rFonts w:cstheme="minorHAnsi"/>
                <w:b/>
                <w:bCs/>
                <w:i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i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i/>
                <w:u w:val="single"/>
              </w:rPr>
              <w:t xml:space="preserve"> janvier 2020</w:t>
            </w:r>
          </w:p>
          <w:p w14:paraId="3BBF4E00" w14:textId="77777777" w:rsidR="005314B5" w:rsidRPr="004B05D1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05D1">
              <w:rPr>
                <w:rFonts w:cstheme="minorHAnsi"/>
                <w:b/>
                <w:bCs/>
              </w:rPr>
              <w:t>Interdiction</w:t>
            </w:r>
            <w:r w:rsidRPr="004B05D1">
              <w:rPr>
                <w:rFonts w:cstheme="minorHAnsi"/>
                <w:bCs/>
              </w:rPr>
              <w:t xml:space="preserve"> si composées de 100% plastique et </w:t>
            </w:r>
            <w:r w:rsidRPr="004B05D1">
              <w:rPr>
                <w:rFonts w:cstheme="minorHAnsi"/>
                <w:b/>
              </w:rPr>
              <w:t xml:space="preserve">non emballages </w:t>
            </w:r>
            <w:r w:rsidRPr="004B05D1">
              <w:rPr>
                <w:rFonts w:cstheme="minorHAnsi"/>
              </w:rPr>
              <w:t xml:space="preserve">(ces produits peuvent être vendus en </w:t>
            </w:r>
            <w:proofErr w:type="spellStart"/>
            <w:r w:rsidRPr="004B05D1">
              <w:rPr>
                <w:rFonts w:cstheme="minorHAnsi"/>
              </w:rPr>
              <w:t>BtoB</w:t>
            </w:r>
            <w:proofErr w:type="spellEnd"/>
            <w:r w:rsidRPr="004B05D1">
              <w:rPr>
                <w:rFonts w:cstheme="minorHAnsi"/>
              </w:rPr>
              <w:t xml:space="preserve"> si il sont utilisés comme emballage - remplis ou conçus pour être remplis (d’aliments ou de boissons) au point de vente-).</w:t>
            </w:r>
          </w:p>
          <w:p w14:paraId="35201F22" w14:textId="4B48A89F" w:rsidR="005314B5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3D79C736" w14:textId="2AA47D84" w:rsidR="004B05D1" w:rsidRPr="004B05D1" w:rsidRDefault="004B05D1" w:rsidP="004B05D1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B05D1">
              <w:rPr>
                <w:rFonts w:cstheme="minorHAnsi"/>
                <w:b/>
                <w:bCs/>
              </w:rPr>
              <w:t>Reprise du décret ?</w:t>
            </w:r>
          </w:p>
          <w:p w14:paraId="2C57199E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2060"/>
                <w:sz w:val="24"/>
                <w:szCs w:val="24"/>
              </w:rPr>
            </w:pPr>
          </w:p>
        </w:tc>
      </w:tr>
      <w:tr w:rsidR="005314B5" w:rsidRPr="006B3002" w14:paraId="77E7090B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7E94596" w14:textId="7B5D9960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Pailles</w:t>
            </w:r>
          </w:p>
        </w:tc>
        <w:tc>
          <w:tcPr>
            <w:tcW w:w="4339" w:type="dxa"/>
          </w:tcPr>
          <w:p w14:paraId="3B1F42F1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</w:t>
            </w:r>
          </w:p>
          <w:p w14:paraId="3957DAE9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de toutes les pailles à l’exception des usages médicaux </w:t>
            </w:r>
          </w:p>
        </w:tc>
        <w:tc>
          <w:tcPr>
            <w:tcW w:w="4868" w:type="dxa"/>
          </w:tcPr>
          <w:p w14:paraId="7A7601CB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1C2FD131" w14:textId="77777777" w:rsidR="005314B5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B3002">
              <w:rPr>
                <w:rFonts w:cstheme="minorHAnsi"/>
                <w:b/>
              </w:rPr>
              <w:t xml:space="preserve">Interdiction pour celles entièrement ou partiellement composées de plastique et mises à disposition sur le lieu d’utilisation ou celles vendues à l’unité ou en lot </w:t>
            </w:r>
            <w:r w:rsidRPr="006B3002">
              <w:rPr>
                <w:rFonts w:cstheme="minorHAnsi"/>
                <w:bCs/>
              </w:rPr>
              <w:t xml:space="preserve">au consommateur final à l’exception des usages médicaux </w:t>
            </w:r>
          </w:p>
          <w:p w14:paraId="074BA4ED" w14:textId="77777777" w:rsidR="0018740B" w:rsidRPr="006B3002" w:rsidRDefault="0018740B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17915CC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(décret)</w:t>
            </w:r>
          </w:p>
          <w:p w14:paraId="4D461A83" w14:textId="77777777" w:rsidR="005314B5" w:rsidRPr="006B3002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de toutes les pailles, y compris briquettes (idem SUP)</w:t>
            </w:r>
          </w:p>
        </w:tc>
        <w:tc>
          <w:tcPr>
            <w:tcW w:w="4506" w:type="dxa"/>
          </w:tcPr>
          <w:p w14:paraId="1573E08B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  <w:p w14:paraId="7FEA87EF" w14:textId="77777777" w:rsidR="005314B5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de toutes les pailles à l’exception des usages médicaux</w:t>
            </w:r>
          </w:p>
          <w:p w14:paraId="636DE4A4" w14:textId="77777777" w:rsidR="00006AD2" w:rsidRDefault="00006AD2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1979FCE1" w14:textId="0717612B" w:rsidR="00006AD2" w:rsidRPr="006B3002" w:rsidRDefault="00006AD2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Pour les pailles dans les briquettes, interdiction au 3 juillet 2021 si reprise de l’exemption prévue par le décret ? </w:t>
            </w:r>
          </w:p>
        </w:tc>
      </w:tr>
      <w:tr w:rsidR="005314B5" w:rsidRPr="006B3002" w14:paraId="40C58CCE" w14:textId="77777777" w:rsidTr="005314B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552EBDF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Couverts</w:t>
            </w:r>
          </w:p>
        </w:tc>
        <w:tc>
          <w:tcPr>
            <w:tcW w:w="4339" w:type="dxa"/>
          </w:tcPr>
          <w:p w14:paraId="092FB40A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061A9803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</w:rPr>
              <w:t>Interdiction de toutes les fourchettes, couteaux, cuillères et baguettes y compris</w:t>
            </w:r>
            <w:r w:rsidRPr="006B3002">
              <w:rPr>
                <w:rFonts w:cstheme="minorHAnsi"/>
                <w:bCs/>
              </w:rPr>
              <w:t xml:space="preserve"> ceux utilisés dans les établissements pénitentiaires, les établissements de santé et dans le transport aérien, ferroviaire et maritime</w:t>
            </w:r>
          </w:p>
        </w:tc>
        <w:tc>
          <w:tcPr>
            <w:tcW w:w="4868" w:type="dxa"/>
          </w:tcPr>
          <w:p w14:paraId="45465D4B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7215F0E5" w14:textId="72C3BEEA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B3002">
              <w:rPr>
                <w:rFonts w:cstheme="minorHAnsi"/>
                <w:b/>
              </w:rPr>
              <w:t xml:space="preserve">Interdiction </w:t>
            </w:r>
            <w:r w:rsidRPr="0018740B">
              <w:rPr>
                <w:rFonts w:cstheme="minorHAnsi"/>
              </w:rPr>
              <w:t>des fourchettes, couteaux, cuillères et baguettes entièrement ou partiellement composées de plastique, y compris ceux intégrés dans des produits</w:t>
            </w:r>
            <w:r w:rsidR="005F58A3" w:rsidRPr="0018740B">
              <w:rPr>
                <w:rFonts w:cstheme="minorHAnsi"/>
              </w:rPr>
              <w:t>.</w:t>
            </w:r>
          </w:p>
          <w:p w14:paraId="3775D48C" w14:textId="5A8014E3" w:rsidR="00A160D0" w:rsidRPr="006B3002" w:rsidRDefault="00A160D0" w:rsidP="005F58A3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4B05D1">
              <w:rPr>
                <w:rFonts w:cstheme="minorHAnsi"/>
                <w:bCs/>
              </w:rPr>
              <w:t xml:space="preserve">Un délai d’écoulement des stocks </w:t>
            </w:r>
            <w:r w:rsidR="005F58A3">
              <w:rPr>
                <w:rFonts w:cstheme="minorHAnsi"/>
                <w:bCs/>
              </w:rPr>
              <w:t>de</w:t>
            </w:r>
            <w:r w:rsidRPr="004B05D1">
              <w:rPr>
                <w:rFonts w:cstheme="minorHAnsi"/>
                <w:bCs/>
              </w:rPr>
              <w:t xml:space="preserve"> 6 mois est prévu</w:t>
            </w:r>
          </w:p>
        </w:tc>
        <w:tc>
          <w:tcPr>
            <w:tcW w:w="4506" w:type="dxa"/>
          </w:tcPr>
          <w:p w14:paraId="3E67D195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  <w:p w14:paraId="13FC1D7B" w14:textId="2B7947B8" w:rsidR="005314B5" w:rsidRPr="0018740B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740B">
              <w:rPr>
                <w:rFonts w:cstheme="minorHAnsi"/>
                <w:b/>
              </w:rPr>
              <w:t>Interdiction</w:t>
            </w:r>
            <w:r w:rsidRPr="0018740B">
              <w:rPr>
                <w:rFonts w:cstheme="minorHAnsi"/>
              </w:rPr>
              <w:t xml:space="preserve"> des fourchettes, couteaux, cuillères et baguettes entièrement ou partiellement composées de plastique, y compris ceux intégrés dans des produits</w:t>
            </w:r>
            <w:r w:rsidR="00A160D0" w:rsidRPr="0018740B">
              <w:rPr>
                <w:rFonts w:cstheme="minorHAnsi"/>
              </w:rPr>
              <w:t>.</w:t>
            </w:r>
          </w:p>
          <w:p w14:paraId="0D39ADFF" w14:textId="77777777" w:rsidR="00A160D0" w:rsidRPr="006B3002" w:rsidRDefault="00A160D0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</w:rPr>
            </w:pPr>
          </w:p>
          <w:p w14:paraId="2FE008FD" w14:textId="4BDEB3A0" w:rsidR="00A160D0" w:rsidRPr="006B3002" w:rsidRDefault="00A160D0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</w:tr>
      <w:tr w:rsidR="005314B5" w:rsidRPr="006B3002" w14:paraId="1B270DAC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5B78BD5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Piques à steak</w:t>
            </w:r>
          </w:p>
        </w:tc>
        <w:tc>
          <w:tcPr>
            <w:tcW w:w="4339" w:type="dxa"/>
          </w:tcPr>
          <w:p w14:paraId="1D7C51C8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455A329C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</w:tcPr>
          <w:p w14:paraId="3054530E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2E030565" w14:textId="399DD1E6" w:rsidR="005314B5" w:rsidRPr="006B3002" w:rsidRDefault="00A160D0" w:rsidP="005F58A3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4B05D1">
              <w:rPr>
                <w:rFonts w:cstheme="minorHAnsi"/>
                <w:bCs/>
              </w:rPr>
              <w:t xml:space="preserve">Un délai d’écoulement des stocks </w:t>
            </w:r>
            <w:r w:rsidR="005F58A3">
              <w:rPr>
                <w:rFonts w:cstheme="minorHAnsi"/>
                <w:bCs/>
              </w:rPr>
              <w:t>de</w:t>
            </w:r>
            <w:r w:rsidRPr="004B05D1">
              <w:rPr>
                <w:rFonts w:cstheme="minorHAnsi"/>
                <w:bCs/>
              </w:rPr>
              <w:t xml:space="preserve"> 6 mois est prévu</w:t>
            </w:r>
          </w:p>
        </w:tc>
        <w:tc>
          <w:tcPr>
            <w:tcW w:w="4506" w:type="dxa"/>
          </w:tcPr>
          <w:p w14:paraId="44F2CE34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  <w:p w14:paraId="31DD8AEA" w14:textId="77777777" w:rsidR="005314B5" w:rsidRPr="006B3002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</w:tr>
      <w:tr w:rsidR="005314B5" w:rsidRPr="006B3002" w14:paraId="46F9C868" w14:textId="77777777" w:rsidTr="005314B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4445115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 xml:space="preserve">Couvercles à </w:t>
            </w:r>
            <w:r w:rsidRPr="006B3002">
              <w:rPr>
                <w:rFonts w:cstheme="minorHAnsi"/>
                <w:bCs w:val="0"/>
                <w:color w:val="000000" w:themeColor="text1"/>
              </w:rPr>
              <w:lastRenderedPageBreak/>
              <w:t>verre jetables</w:t>
            </w:r>
          </w:p>
        </w:tc>
        <w:tc>
          <w:tcPr>
            <w:tcW w:w="4339" w:type="dxa"/>
          </w:tcPr>
          <w:p w14:paraId="0BE7650E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lastRenderedPageBreak/>
              <w:t>-</w:t>
            </w:r>
          </w:p>
          <w:p w14:paraId="471C7612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</w:tcPr>
          <w:p w14:paraId="29EA5BEB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lastRenderedPageBreak/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1ED515DF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B3002">
              <w:rPr>
                <w:rFonts w:cstheme="minorHAnsi"/>
                <w:b/>
                <w:bCs/>
              </w:rPr>
              <w:lastRenderedPageBreak/>
              <w:t>Interdiction</w:t>
            </w:r>
            <w:r w:rsidRPr="006B3002">
              <w:rPr>
                <w:rFonts w:cstheme="minorHAnsi"/>
                <w:bCs/>
              </w:rPr>
              <w:t xml:space="preserve"> des couvercles à verre ou à gobelet en plastique à usage unique, </w:t>
            </w:r>
            <w:r w:rsidRPr="006B3002">
              <w:rPr>
                <w:rFonts w:cstheme="minorHAnsi"/>
                <w:b/>
              </w:rPr>
              <w:t xml:space="preserve">non emballages. </w:t>
            </w:r>
            <w:r w:rsidRPr="006B3002">
              <w:rPr>
                <w:rFonts w:cstheme="minorHAnsi"/>
              </w:rPr>
              <w:t xml:space="preserve">Les couvercles de boisson à emporter sont considérés comme des emballages et ne sont donc </w:t>
            </w:r>
            <w:r w:rsidRPr="006B3002">
              <w:rPr>
                <w:rFonts w:cstheme="minorHAnsi"/>
                <w:bCs/>
              </w:rPr>
              <w:t>sont donc pas concernés par cette échéance.</w:t>
            </w:r>
          </w:p>
          <w:p w14:paraId="6FB4DB22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0847A05D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(décret)</w:t>
            </w:r>
          </w:p>
          <w:p w14:paraId="7591FB5E" w14:textId="7C02DD2E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B3002">
              <w:rPr>
                <w:rFonts w:cstheme="minorHAnsi"/>
                <w:b/>
                <w:bCs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des couvercles à verre ou à gobelet en plastique à usage unique, y compris les couvercles de boisson à emporter</w:t>
            </w:r>
            <w:r w:rsidR="0018740B">
              <w:rPr>
                <w:rFonts w:cstheme="minorHAnsi"/>
                <w:bCs/>
              </w:rPr>
              <w:t xml:space="preserve">. </w:t>
            </w:r>
            <w:bookmarkStart w:id="0" w:name="_GoBack"/>
            <w:bookmarkEnd w:id="0"/>
          </w:p>
          <w:p w14:paraId="5308AC1D" w14:textId="77777777" w:rsidR="00A160D0" w:rsidRPr="006B3002" w:rsidRDefault="00A160D0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</w:rPr>
            </w:pPr>
          </w:p>
          <w:p w14:paraId="3EDFD0C0" w14:textId="7C653E01" w:rsidR="00A160D0" w:rsidRPr="006B3002" w:rsidRDefault="00A160D0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2B581BBC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lastRenderedPageBreak/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  <w:p w14:paraId="6E967C3F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B3002">
              <w:rPr>
                <w:rFonts w:cstheme="minorHAnsi"/>
                <w:b/>
                <w:bCs/>
              </w:rPr>
              <w:lastRenderedPageBreak/>
              <w:t>Interdiction</w:t>
            </w:r>
            <w:r w:rsidRPr="006B3002">
              <w:rPr>
                <w:rFonts w:cstheme="minorHAnsi"/>
                <w:bCs/>
              </w:rPr>
              <w:t xml:space="preserve"> des couvercles à verre ou à gobelet en plastique à usage unique, </w:t>
            </w:r>
            <w:r w:rsidRPr="006B3002">
              <w:rPr>
                <w:rFonts w:cstheme="minorHAnsi"/>
                <w:b/>
              </w:rPr>
              <w:t xml:space="preserve">non emballages. </w:t>
            </w:r>
          </w:p>
          <w:p w14:paraId="7356ADC1" w14:textId="77777777" w:rsidR="005F58A3" w:rsidRDefault="005F58A3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</w:rPr>
            </w:pPr>
          </w:p>
          <w:p w14:paraId="6E2CC7CC" w14:textId="5FA87DF3" w:rsidR="00A160D0" w:rsidRPr="006B3002" w:rsidRDefault="00A160D0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  <w:iCs/>
              </w:rPr>
              <w:t>3 juillet 2021 si reprise de l’exemption prévue par le décret ?</w:t>
            </w:r>
          </w:p>
        </w:tc>
      </w:tr>
      <w:tr w:rsidR="00D352CF" w:rsidRPr="006B3002" w14:paraId="0EE1285D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78A1BD0" w14:textId="77777777" w:rsidR="00D352CF" w:rsidRPr="006B3002" w:rsidRDefault="00D352CF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lastRenderedPageBreak/>
              <w:t>Plateaux-repas</w:t>
            </w:r>
          </w:p>
        </w:tc>
        <w:tc>
          <w:tcPr>
            <w:tcW w:w="4339" w:type="dxa"/>
          </w:tcPr>
          <w:p w14:paraId="0859F932" w14:textId="77777777" w:rsidR="00D352CF" w:rsidRPr="006B3002" w:rsidRDefault="00D352CF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7EB9A5BD" w14:textId="77777777" w:rsidR="00D352CF" w:rsidRPr="006B3002" w:rsidRDefault="00D352CF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  <w:vMerge w:val="restart"/>
          </w:tcPr>
          <w:p w14:paraId="75ACF090" w14:textId="77777777" w:rsidR="00445AD2" w:rsidRPr="006B3002" w:rsidRDefault="00445AD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0695C03F" w14:textId="77777777" w:rsidR="00445AD2" w:rsidRPr="006B3002" w:rsidRDefault="00445AD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39FCF526" w14:textId="77777777" w:rsidR="00445AD2" w:rsidRPr="006B3002" w:rsidRDefault="00445AD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3855787D" w14:textId="77777777" w:rsidR="00445AD2" w:rsidRPr="006B3002" w:rsidRDefault="00445AD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41FC2A67" w14:textId="77777777" w:rsidR="00445AD2" w:rsidRPr="006B3002" w:rsidRDefault="00445AD2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331834CE" w14:textId="265929DA" w:rsidR="00D352CF" w:rsidRPr="006B3002" w:rsidRDefault="00D352CF" w:rsidP="00445AD2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  <w:r w:rsidRPr="006B3002">
              <w:rPr>
                <w:rFonts w:cstheme="minorHAnsi"/>
                <w:b/>
                <w:bCs/>
              </w:rPr>
              <w:t xml:space="preserve"> mais le décret permettait une mise en œuvre au 3 juillet 2021 pour les emballages</w:t>
            </w:r>
            <w:r w:rsidR="00A160D0" w:rsidRPr="006B3002">
              <w:rPr>
                <w:rFonts w:cstheme="minorHAnsi"/>
                <w:b/>
                <w:bCs/>
              </w:rPr>
              <w:t xml:space="preserve"> composés à 100% de plastique</w:t>
            </w:r>
            <w:r w:rsidRPr="006B3002">
              <w:rPr>
                <w:rFonts w:cstheme="minorHAnsi"/>
                <w:b/>
                <w:bCs/>
              </w:rPr>
              <w:t xml:space="preserve">. </w:t>
            </w:r>
          </w:p>
          <w:p w14:paraId="42AE811A" w14:textId="77777777" w:rsidR="00D352CF" w:rsidRPr="006B3002" w:rsidRDefault="00D352CF" w:rsidP="00D352CF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3B9B9A1D" w14:textId="66C120FA" w:rsidR="00D352CF" w:rsidRPr="006B3002" w:rsidRDefault="00A160D0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Pas d’interdiction</w:t>
            </w:r>
          </w:p>
          <w:p w14:paraId="5B7411F1" w14:textId="77777777" w:rsidR="00D352CF" w:rsidRPr="006B3002" w:rsidRDefault="00D352CF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</w:tr>
      <w:tr w:rsidR="00D352CF" w:rsidRPr="006B3002" w14:paraId="1F23206A" w14:textId="77777777" w:rsidTr="005314B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ED63B25" w14:textId="77777777" w:rsidR="00D352CF" w:rsidRPr="006B3002" w:rsidRDefault="00D352CF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Pots à glace</w:t>
            </w:r>
          </w:p>
        </w:tc>
        <w:tc>
          <w:tcPr>
            <w:tcW w:w="4339" w:type="dxa"/>
          </w:tcPr>
          <w:p w14:paraId="2BA7DF99" w14:textId="77777777" w:rsidR="00D352CF" w:rsidRPr="006B3002" w:rsidRDefault="00D352CF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6239AC73" w14:textId="77777777" w:rsidR="00D352CF" w:rsidRPr="006B3002" w:rsidRDefault="00D352CF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  <w:vMerge/>
          </w:tcPr>
          <w:p w14:paraId="7434C367" w14:textId="77777777" w:rsidR="00D352CF" w:rsidRPr="006B3002" w:rsidRDefault="00D352CF" w:rsidP="00C40380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27393E9B" w14:textId="1A1B0D6F" w:rsidR="00D352CF" w:rsidRPr="006B3002" w:rsidRDefault="00A160D0" w:rsidP="006B3002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Pas d’interdiction</w:t>
            </w:r>
          </w:p>
          <w:p w14:paraId="5A238145" w14:textId="77777777" w:rsidR="00D352CF" w:rsidRPr="006B3002" w:rsidRDefault="00D352CF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</w:tr>
      <w:tr w:rsidR="00D352CF" w:rsidRPr="006B3002" w14:paraId="6949A6B1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19F4F03" w14:textId="77777777" w:rsidR="00D352CF" w:rsidRPr="006B3002" w:rsidRDefault="00D352CF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Saladiers</w:t>
            </w:r>
          </w:p>
        </w:tc>
        <w:tc>
          <w:tcPr>
            <w:tcW w:w="4339" w:type="dxa"/>
          </w:tcPr>
          <w:p w14:paraId="77A6EB05" w14:textId="77777777" w:rsidR="00D352CF" w:rsidRPr="006B3002" w:rsidRDefault="00D352CF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59932337" w14:textId="77777777" w:rsidR="00D352CF" w:rsidRPr="006B3002" w:rsidRDefault="00D352CF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  <w:vMerge/>
          </w:tcPr>
          <w:p w14:paraId="2563A28D" w14:textId="77777777" w:rsidR="00D352CF" w:rsidRPr="006B3002" w:rsidRDefault="00D352CF" w:rsidP="00C40380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7A5FB417" w14:textId="1ADF2368" w:rsidR="00D352CF" w:rsidRPr="006B3002" w:rsidRDefault="00A160D0" w:rsidP="006B3002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Pas d’interdiction</w:t>
            </w:r>
          </w:p>
          <w:p w14:paraId="448CD163" w14:textId="77777777" w:rsidR="00D352CF" w:rsidRPr="006B3002" w:rsidRDefault="00D352CF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</w:tr>
      <w:tr w:rsidR="00D352CF" w:rsidRPr="006B3002" w14:paraId="77179122" w14:textId="77777777" w:rsidTr="005314B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98CCB70" w14:textId="77777777" w:rsidR="00D352CF" w:rsidRPr="006B3002" w:rsidRDefault="00D352CF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Boîtes</w:t>
            </w:r>
          </w:p>
        </w:tc>
        <w:tc>
          <w:tcPr>
            <w:tcW w:w="4339" w:type="dxa"/>
          </w:tcPr>
          <w:p w14:paraId="39655A2F" w14:textId="77777777" w:rsidR="00D352CF" w:rsidRPr="006B3002" w:rsidRDefault="00D352CF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6F334195" w14:textId="54C5FC8E" w:rsidR="00D352CF" w:rsidRPr="006B3002" w:rsidRDefault="00D352CF" w:rsidP="00426C8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3002">
              <w:rPr>
                <w:rFonts w:cstheme="minorHAnsi"/>
              </w:rPr>
              <w:t xml:space="preserve">Interdiction des </w:t>
            </w:r>
            <w:r w:rsidRPr="006B3002">
              <w:rPr>
                <w:rFonts w:cstheme="minorHAnsi"/>
                <w:b/>
                <w:bCs/>
              </w:rPr>
              <w:t>récipients en polystyrène expansé</w:t>
            </w:r>
            <w:r w:rsidRPr="006B3002">
              <w:rPr>
                <w:rFonts w:cstheme="minorHAnsi"/>
              </w:rPr>
              <w:t xml:space="preserve"> destinés à une consommation sur place ou nomade</w:t>
            </w:r>
          </w:p>
        </w:tc>
        <w:tc>
          <w:tcPr>
            <w:tcW w:w="4868" w:type="dxa"/>
            <w:vMerge/>
          </w:tcPr>
          <w:p w14:paraId="5923DB23" w14:textId="3C68F490" w:rsidR="00D352CF" w:rsidRPr="006B3002" w:rsidRDefault="00D352CF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4F9AAD53" w14:textId="77777777" w:rsidR="00D352CF" w:rsidRPr="006B3002" w:rsidRDefault="00D352CF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  <w:p w14:paraId="7815CAF2" w14:textId="7A09D55D" w:rsidR="00D352CF" w:rsidRPr="006B3002" w:rsidRDefault="00A160D0" w:rsidP="00D352CF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3002">
              <w:rPr>
                <w:rFonts w:cstheme="minorHAnsi"/>
              </w:rPr>
              <w:t>Uniquement i</w:t>
            </w:r>
            <w:r w:rsidR="005A7466" w:rsidRPr="006B3002">
              <w:rPr>
                <w:rFonts w:cstheme="minorHAnsi"/>
              </w:rPr>
              <w:t xml:space="preserve">nterdiction des </w:t>
            </w:r>
            <w:r w:rsidR="005A7466" w:rsidRPr="006B3002">
              <w:rPr>
                <w:rFonts w:cstheme="minorHAnsi"/>
                <w:b/>
              </w:rPr>
              <w:t>contenants ou</w:t>
            </w:r>
            <w:r w:rsidR="00D352CF" w:rsidRPr="006B3002">
              <w:rPr>
                <w:rFonts w:cstheme="minorHAnsi"/>
              </w:rPr>
              <w:t xml:space="preserve"> </w:t>
            </w:r>
            <w:r w:rsidR="00D352CF" w:rsidRPr="006B3002">
              <w:rPr>
                <w:rFonts w:cstheme="minorHAnsi"/>
                <w:b/>
                <w:bCs/>
              </w:rPr>
              <w:t>récipients en polystyrène expansé</w:t>
            </w:r>
            <w:r w:rsidR="00D352CF" w:rsidRPr="006B3002">
              <w:rPr>
                <w:rFonts w:cstheme="minorHAnsi"/>
              </w:rPr>
              <w:t xml:space="preserve"> destinés à une consommation sur place ou nomade</w:t>
            </w:r>
            <w:r w:rsidRPr="006B3002">
              <w:rPr>
                <w:rFonts w:cstheme="minorHAnsi"/>
              </w:rPr>
              <w:t xml:space="preserve">. </w:t>
            </w:r>
            <w:r w:rsidR="00D352CF" w:rsidRPr="006B3002">
              <w:rPr>
                <w:rFonts w:cstheme="minorHAnsi"/>
              </w:rPr>
              <w:t xml:space="preserve">A déterminer si maintien du </w:t>
            </w:r>
            <w:r w:rsidR="00D352CF" w:rsidRPr="0018740B">
              <w:rPr>
                <w:rFonts w:cstheme="minorHAnsi"/>
                <w:b/>
              </w:rPr>
              <w:t>délai au 3 juillet 2021</w:t>
            </w:r>
            <w:r w:rsidR="00D352CF" w:rsidRPr="006B3002">
              <w:rPr>
                <w:rFonts w:cstheme="minorHAnsi"/>
              </w:rPr>
              <w:t xml:space="preserve"> prévu par le décret du 24 décembre</w:t>
            </w:r>
            <w:r w:rsidR="004A775E" w:rsidRPr="006B3002">
              <w:rPr>
                <w:rFonts w:cstheme="minorHAnsi"/>
              </w:rPr>
              <w:t xml:space="preserve"> pour les emballages</w:t>
            </w:r>
            <w:r w:rsidR="00D352CF" w:rsidRPr="006B3002">
              <w:rPr>
                <w:rFonts w:cstheme="minorHAnsi"/>
              </w:rPr>
              <w:t xml:space="preserve">. </w:t>
            </w:r>
          </w:p>
        </w:tc>
      </w:tr>
      <w:tr w:rsidR="005314B5" w:rsidRPr="006B3002" w14:paraId="7279F075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E27C2DB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Bâtonnets mélangeurs pour boissons</w:t>
            </w:r>
          </w:p>
        </w:tc>
        <w:tc>
          <w:tcPr>
            <w:tcW w:w="4339" w:type="dxa"/>
          </w:tcPr>
          <w:p w14:paraId="366B2EFD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48F67B2C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</w:tcPr>
          <w:p w14:paraId="32E029F7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5CB6C08C" w14:textId="768A370C" w:rsidR="005314B5" w:rsidRPr="006B3002" w:rsidRDefault="00A160D0" w:rsidP="005F58A3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4B05D1">
              <w:rPr>
                <w:rFonts w:cstheme="minorHAnsi"/>
                <w:bCs/>
              </w:rPr>
              <w:t xml:space="preserve">Un délai d’écoulement des stocks </w:t>
            </w:r>
            <w:r w:rsidR="005F58A3">
              <w:rPr>
                <w:rFonts w:cstheme="minorHAnsi"/>
                <w:bCs/>
              </w:rPr>
              <w:t>de</w:t>
            </w:r>
            <w:r w:rsidRPr="004B05D1">
              <w:rPr>
                <w:rFonts w:cstheme="minorHAnsi"/>
                <w:bCs/>
              </w:rPr>
              <w:t xml:space="preserve"> 6 mois est prévu</w:t>
            </w:r>
          </w:p>
        </w:tc>
        <w:tc>
          <w:tcPr>
            <w:tcW w:w="4506" w:type="dxa"/>
          </w:tcPr>
          <w:p w14:paraId="6A059033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</w:tc>
      </w:tr>
      <w:tr w:rsidR="005314B5" w:rsidRPr="006B3002" w14:paraId="42DFB809" w14:textId="77777777" w:rsidTr="005314B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B0AA2FA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Bouteilles en polystyrène expansé</w:t>
            </w:r>
          </w:p>
        </w:tc>
        <w:tc>
          <w:tcPr>
            <w:tcW w:w="4339" w:type="dxa"/>
          </w:tcPr>
          <w:p w14:paraId="721B2F01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17E71F91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</w:tcPr>
          <w:p w14:paraId="18B2CE3A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1E9E44AA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38BCED13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</w:tc>
      </w:tr>
      <w:tr w:rsidR="005314B5" w:rsidRPr="006B3002" w14:paraId="07A39950" w14:textId="77777777" w:rsidTr="005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BA40BB6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lastRenderedPageBreak/>
              <w:t>Tiges et mécanismes pour ballon de baudruche</w:t>
            </w:r>
          </w:p>
        </w:tc>
        <w:tc>
          <w:tcPr>
            <w:tcW w:w="4339" w:type="dxa"/>
          </w:tcPr>
          <w:p w14:paraId="7F6201CE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6DEC40FB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</w:tcPr>
          <w:p w14:paraId="1B85D4D9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3002">
              <w:rPr>
                <w:rFonts w:cstheme="minorHAnsi"/>
                <w:b/>
                <w:bCs/>
              </w:rPr>
              <w:t>-</w:t>
            </w:r>
          </w:p>
          <w:p w14:paraId="78433F74" w14:textId="77777777" w:rsidR="005314B5" w:rsidRPr="006B3002" w:rsidRDefault="005314B5" w:rsidP="005314B5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4506" w:type="dxa"/>
          </w:tcPr>
          <w:p w14:paraId="46E62EF0" w14:textId="77777777" w:rsidR="005314B5" w:rsidRPr="006B3002" w:rsidRDefault="005314B5" w:rsidP="005314B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2021</w:t>
            </w:r>
          </w:p>
        </w:tc>
      </w:tr>
      <w:tr w:rsidR="005314B5" w:rsidRPr="006B3002" w14:paraId="511EE41B" w14:textId="77777777" w:rsidTr="005314B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A3D49A9" w14:textId="77777777" w:rsidR="005314B5" w:rsidRPr="006B3002" w:rsidRDefault="005314B5" w:rsidP="005314B5">
            <w:pPr>
              <w:pStyle w:val="Sansinterligne"/>
              <w:rPr>
                <w:rFonts w:cstheme="minorHAnsi"/>
                <w:bCs w:val="0"/>
                <w:color w:val="000000" w:themeColor="text1"/>
              </w:rPr>
            </w:pPr>
            <w:r w:rsidRPr="006B3002">
              <w:rPr>
                <w:rFonts w:cstheme="minorHAnsi"/>
                <w:bCs w:val="0"/>
                <w:color w:val="000000" w:themeColor="text1"/>
              </w:rPr>
              <w:t>Bâtonnets ouatés</w:t>
            </w:r>
          </w:p>
        </w:tc>
        <w:tc>
          <w:tcPr>
            <w:tcW w:w="4339" w:type="dxa"/>
          </w:tcPr>
          <w:p w14:paraId="0C3FA9B2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3 juillet 2021 au plus tard</w:t>
            </w:r>
          </w:p>
          <w:p w14:paraId="015DC837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68" w:type="dxa"/>
          </w:tcPr>
          <w:p w14:paraId="05D6A274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1622DFA9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(usage domestique dont la tige est en plastique)</w:t>
            </w:r>
          </w:p>
        </w:tc>
        <w:tc>
          <w:tcPr>
            <w:tcW w:w="4506" w:type="dxa"/>
          </w:tcPr>
          <w:p w14:paraId="52EB191D" w14:textId="77777777" w:rsidR="005314B5" w:rsidRPr="006B3002" w:rsidRDefault="005314B5" w:rsidP="005314B5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B3002">
              <w:rPr>
                <w:rFonts w:cstheme="minorHAnsi"/>
                <w:b/>
                <w:bCs/>
                <w:u w:val="single"/>
              </w:rPr>
              <w:t>1</w:t>
            </w:r>
            <w:r w:rsidRPr="006B3002">
              <w:rPr>
                <w:rFonts w:cstheme="minorHAnsi"/>
                <w:b/>
                <w:bCs/>
                <w:u w:val="single"/>
                <w:vertAlign w:val="superscript"/>
              </w:rPr>
              <w:t>er</w:t>
            </w:r>
            <w:r w:rsidRPr="006B3002">
              <w:rPr>
                <w:rFonts w:cstheme="minorHAnsi"/>
                <w:b/>
                <w:bCs/>
                <w:u w:val="single"/>
              </w:rPr>
              <w:t xml:space="preserve"> janvier 2020</w:t>
            </w:r>
          </w:p>
          <w:p w14:paraId="202F4961" w14:textId="77777777" w:rsidR="005314B5" w:rsidRPr="006B3002" w:rsidRDefault="005314B5" w:rsidP="005314B5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2060"/>
                <w:sz w:val="24"/>
                <w:szCs w:val="24"/>
              </w:rPr>
            </w:pPr>
            <w:r w:rsidRPr="006B3002">
              <w:rPr>
                <w:rFonts w:cstheme="minorHAnsi"/>
                <w:b/>
              </w:rPr>
              <w:t>Interdiction</w:t>
            </w:r>
            <w:r w:rsidRPr="006B3002">
              <w:rPr>
                <w:rFonts w:cstheme="minorHAnsi"/>
                <w:bCs/>
              </w:rPr>
              <w:t xml:space="preserve"> (usage domestique dont la tige est en plastique)</w:t>
            </w:r>
          </w:p>
        </w:tc>
      </w:tr>
    </w:tbl>
    <w:p w14:paraId="62362F5F" w14:textId="77777777" w:rsidR="002A76F7" w:rsidRPr="006B3002" w:rsidRDefault="002A76F7" w:rsidP="00552B0B">
      <w:pPr>
        <w:pStyle w:val="Sansinterligne"/>
        <w:jc w:val="both"/>
        <w:rPr>
          <w:rFonts w:cstheme="minorHAnsi"/>
          <w:b/>
          <w:iCs/>
          <w:color w:val="002060"/>
          <w:sz w:val="18"/>
          <w:szCs w:val="18"/>
        </w:rPr>
      </w:pPr>
    </w:p>
    <w:p w14:paraId="11CA2354" w14:textId="5516548C" w:rsidR="00117BA6" w:rsidRDefault="0018740B" w:rsidP="00D7041B">
      <w:pPr>
        <w:pStyle w:val="Paragraphedeliste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iCs/>
          <w:color w:val="002060"/>
        </w:rPr>
      </w:pPr>
      <w:r w:rsidRPr="006B3002">
        <w:rPr>
          <w:rFonts w:asciiTheme="minorHAnsi" w:hAnsiTheme="minorHAnsi" w:cstheme="minorHAnsi"/>
          <w:b/>
          <w:bCs/>
          <w:iCs/>
          <w:color w:val="002060"/>
        </w:rPr>
        <w:t>QUESTIONS/REPONSES</w:t>
      </w:r>
    </w:p>
    <w:p w14:paraId="54B65148" w14:textId="77777777" w:rsidR="0018740B" w:rsidRPr="006B3002" w:rsidRDefault="0018740B" w:rsidP="0018740B">
      <w:pPr>
        <w:pStyle w:val="Paragraphedeliste"/>
        <w:jc w:val="both"/>
        <w:rPr>
          <w:rFonts w:asciiTheme="minorHAnsi" w:hAnsiTheme="minorHAnsi" w:cstheme="minorHAnsi"/>
          <w:b/>
          <w:bCs/>
          <w:iCs/>
          <w:color w:val="002060"/>
        </w:rPr>
      </w:pPr>
    </w:p>
    <w:p w14:paraId="2E7B44F3" w14:textId="19DC540E" w:rsidR="0042570B" w:rsidRPr="006B3002" w:rsidRDefault="00263A16" w:rsidP="0042570B">
      <w:pPr>
        <w:pStyle w:val="Sansinterligne"/>
        <w:numPr>
          <w:ilvl w:val="0"/>
          <w:numId w:val="25"/>
        </w:numPr>
        <w:jc w:val="both"/>
        <w:rPr>
          <w:rFonts w:cstheme="minorHAnsi"/>
          <w:b/>
          <w:color w:val="002060"/>
        </w:rPr>
      </w:pPr>
      <w:r w:rsidRPr="006B3002">
        <w:rPr>
          <w:rFonts w:cstheme="minorHAnsi"/>
          <w:b/>
          <w:color w:val="002060"/>
        </w:rPr>
        <w:t>Qu’</w:t>
      </w:r>
      <w:r w:rsidR="00B94769" w:rsidRPr="006B3002">
        <w:rPr>
          <w:rFonts w:cstheme="minorHAnsi"/>
          <w:b/>
          <w:color w:val="002060"/>
        </w:rPr>
        <w:t>est-ce</w:t>
      </w:r>
      <w:r w:rsidRPr="006B3002">
        <w:rPr>
          <w:rFonts w:cstheme="minorHAnsi"/>
          <w:b/>
          <w:color w:val="002060"/>
        </w:rPr>
        <w:t xml:space="preserve"> qu’u</w:t>
      </w:r>
      <w:r w:rsidR="0042570B" w:rsidRPr="006B3002">
        <w:rPr>
          <w:rFonts w:cstheme="minorHAnsi"/>
          <w:b/>
          <w:color w:val="002060"/>
        </w:rPr>
        <w:t>n produit en plastique ?</w:t>
      </w:r>
    </w:p>
    <w:p w14:paraId="4A10E7C8" w14:textId="77777777" w:rsidR="0042570B" w:rsidRPr="006B3002" w:rsidRDefault="0042570B" w:rsidP="0042570B">
      <w:pPr>
        <w:pStyle w:val="Sansinterligne"/>
        <w:jc w:val="both"/>
        <w:rPr>
          <w:rFonts w:cstheme="minorHAnsi"/>
        </w:rPr>
      </w:pPr>
    </w:p>
    <w:p w14:paraId="6FC27519" w14:textId="664B3988" w:rsidR="00827C2E" w:rsidRPr="006B3002" w:rsidRDefault="00827C2E" w:rsidP="00827C2E">
      <w:pPr>
        <w:pStyle w:val="Sansinterligne"/>
        <w:jc w:val="both"/>
        <w:rPr>
          <w:rFonts w:cstheme="minorHAnsi"/>
          <w:iCs/>
        </w:rPr>
      </w:pPr>
      <w:r w:rsidRPr="006B3002">
        <w:rPr>
          <w:rFonts w:cstheme="minorHAnsi"/>
          <w:iCs/>
        </w:rPr>
        <w:t xml:space="preserve">La </w:t>
      </w:r>
      <w:r w:rsidR="002E7DC5" w:rsidRPr="006B3002">
        <w:rPr>
          <w:rFonts w:cstheme="minorHAnsi"/>
          <w:iCs/>
        </w:rPr>
        <w:t>d</w:t>
      </w:r>
      <w:r w:rsidRPr="006B3002">
        <w:rPr>
          <w:rFonts w:cstheme="minorHAnsi"/>
          <w:iCs/>
        </w:rPr>
        <w:t xml:space="preserve">irective SUP définit </w:t>
      </w:r>
      <w:r w:rsidR="0042570B" w:rsidRPr="006B3002">
        <w:rPr>
          <w:rFonts w:cstheme="minorHAnsi"/>
          <w:iCs/>
        </w:rPr>
        <w:t xml:space="preserve">un produit </w:t>
      </w:r>
      <w:r w:rsidRPr="006B3002">
        <w:rPr>
          <w:rFonts w:cstheme="minorHAnsi"/>
          <w:iCs/>
        </w:rPr>
        <w:t>en plastique dès lors qu’il est</w:t>
      </w:r>
      <w:r w:rsidR="00367A2D" w:rsidRPr="006B3002">
        <w:rPr>
          <w:rFonts w:cstheme="minorHAnsi"/>
          <w:iCs/>
        </w:rPr>
        <w:t xml:space="preserve"> « </w:t>
      </w:r>
      <w:r w:rsidRPr="006B3002">
        <w:rPr>
          <w:rFonts w:cstheme="minorHAnsi"/>
          <w:b/>
          <w:bCs/>
          <w:i/>
        </w:rPr>
        <w:t xml:space="preserve">fabriqué </w:t>
      </w:r>
      <w:r w:rsidR="00387B95" w:rsidRPr="006B3002">
        <w:rPr>
          <w:rFonts w:cstheme="minorHAnsi"/>
          <w:b/>
          <w:bCs/>
          <w:i/>
        </w:rPr>
        <w:t>entièrement</w:t>
      </w:r>
      <w:r w:rsidRPr="006B3002">
        <w:rPr>
          <w:rFonts w:cstheme="minorHAnsi"/>
          <w:b/>
          <w:bCs/>
          <w:i/>
        </w:rPr>
        <w:t xml:space="preserve"> ou partiellement à partir de plastique</w:t>
      </w:r>
      <w:r w:rsidR="00367A2D" w:rsidRPr="006B3002">
        <w:rPr>
          <w:rFonts w:cstheme="minorHAnsi"/>
          <w:i/>
        </w:rPr>
        <w:t> </w:t>
      </w:r>
      <w:r w:rsidR="00367A2D" w:rsidRPr="006B3002">
        <w:rPr>
          <w:rStyle w:val="Appelnotedebasdep"/>
          <w:rFonts w:cstheme="minorHAnsi"/>
          <w:i/>
        </w:rPr>
        <w:footnoteReference w:id="1"/>
      </w:r>
      <w:r w:rsidR="00367A2D" w:rsidRPr="006B3002">
        <w:rPr>
          <w:rFonts w:cstheme="minorHAnsi"/>
          <w:iCs/>
        </w:rPr>
        <w:t>»</w:t>
      </w:r>
    </w:p>
    <w:p w14:paraId="50C15643" w14:textId="77777777" w:rsidR="0042570B" w:rsidRPr="006B3002" w:rsidRDefault="0042570B" w:rsidP="0042570B">
      <w:pPr>
        <w:pStyle w:val="Sansinterligne"/>
        <w:jc w:val="both"/>
        <w:rPr>
          <w:rFonts w:cstheme="minorHAnsi"/>
          <w:iCs/>
        </w:rPr>
      </w:pPr>
    </w:p>
    <w:p w14:paraId="241737FC" w14:textId="0F6F5884" w:rsidR="0042570B" w:rsidRPr="006B3002" w:rsidRDefault="00333DA9" w:rsidP="0042570B">
      <w:pPr>
        <w:pStyle w:val="Sansinterligne"/>
        <w:jc w:val="both"/>
        <w:rPr>
          <w:iCs/>
        </w:rPr>
      </w:pPr>
      <w:r w:rsidRPr="006B3002">
        <w:rPr>
          <w:rFonts w:cstheme="minorHAnsi"/>
          <w:iCs/>
        </w:rPr>
        <w:t>En conséquence, les</w:t>
      </w:r>
      <w:r w:rsidR="0042570B" w:rsidRPr="006B3002">
        <w:rPr>
          <w:rFonts w:cstheme="minorHAnsi"/>
          <w:iCs/>
        </w:rPr>
        <w:t xml:space="preserve"> produits visés par les interdictions de la </w:t>
      </w:r>
      <w:r w:rsidR="007C0A09" w:rsidRPr="006B3002">
        <w:rPr>
          <w:rFonts w:cstheme="minorHAnsi"/>
          <w:iCs/>
        </w:rPr>
        <w:t>d</w:t>
      </w:r>
      <w:r w:rsidRPr="006B3002">
        <w:rPr>
          <w:rFonts w:cstheme="minorHAnsi"/>
          <w:iCs/>
        </w:rPr>
        <w:t xml:space="preserve">irective </w:t>
      </w:r>
      <w:r w:rsidR="0042570B" w:rsidRPr="006B3002">
        <w:rPr>
          <w:rFonts w:cstheme="minorHAnsi"/>
          <w:iCs/>
        </w:rPr>
        <w:t>SUP</w:t>
      </w:r>
      <w:r w:rsidRPr="006B3002">
        <w:rPr>
          <w:rFonts w:cstheme="minorHAnsi"/>
          <w:iCs/>
        </w:rPr>
        <w:t xml:space="preserve"> </w:t>
      </w:r>
      <w:r w:rsidR="0042570B" w:rsidRPr="006B3002">
        <w:rPr>
          <w:rFonts w:cstheme="minorHAnsi"/>
          <w:iCs/>
        </w:rPr>
        <w:t xml:space="preserve">concernent </w:t>
      </w:r>
      <w:r w:rsidR="00E30C0B" w:rsidRPr="006B3002">
        <w:rPr>
          <w:rFonts w:cstheme="minorHAnsi"/>
          <w:iCs/>
        </w:rPr>
        <w:t>aussi</w:t>
      </w:r>
      <w:r w:rsidR="0042570B" w:rsidRPr="006B3002">
        <w:rPr>
          <w:rFonts w:cstheme="minorHAnsi"/>
          <w:iCs/>
        </w:rPr>
        <w:t xml:space="preserve"> l</w:t>
      </w:r>
      <w:r w:rsidR="0042570B" w:rsidRPr="006B3002">
        <w:rPr>
          <w:iCs/>
        </w:rPr>
        <w:t xml:space="preserve">es produits à usage unique en plastique </w:t>
      </w:r>
      <w:proofErr w:type="spellStart"/>
      <w:r w:rsidR="0042570B" w:rsidRPr="006B3002">
        <w:rPr>
          <w:iCs/>
        </w:rPr>
        <w:t>biosourcé</w:t>
      </w:r>
      <w:proofErr w:type="spellEnd"/>
      <w:r w:rsidR="0042570B" w:rsidRPr="006B3002">
        <w:rPr>
          <w:iCs/>
        </w:rPr>
        <w:t xml:space="preserve"> et compostables</w:t>
      </w:r>
      <w:r w:rsidR="007C0A09" w:rsidRPr="006B3002">
        <w:rPr>
          <w:iCs/>
        </w:rPr>
        <w:t xml:space="preserve"> (</w:t>
      </w:r>
      <w:r w:rsidR="002E7DC5" w:rsidRPr="006B3002">
        <w:rPr>
          <w:iCs/>
        </w:rPr>
        <w:t xml:space="preserve">en compostage </w:t>
      </w:r>
      <w:r w:rsidR="007C0A09" w:rsidRPr="006B3002">
        <w:rPr>
          <w:iCs/>
        </w:rPr>
        <w:t xml:space="preserve">domestique ou industriel), </w:t>
      </w:r>
      <w:r w:rsidRPr="006B3002">
        <w:rPr>
          <w:iCs/>
        </w:rPr>
        <w:t xml:space="preserve">ainsi que </w:t>
      </w:r>
      <w:r w:rsidR="0042570B" w:rsidRPr="006B3002">
        <w:rPr>
          <w:iCs/>
        </w:rPr>
        <w:t xml:space="preserve">les produits avec </w:t>
      </w:r>
      <w:r w:rsidR="00E40D98" w:rsidRPr="006B3002">
        <w:rPr>
          <w:iCs/>
        </w:rPr>
        <w:t>un revêtement en plastique</w:t>
      </w:r>
      <w:r w:rsidR="0042570B" w:rsidRPr="006B3002">
        <w:rPr>
          <w:iCs/>
        </w:rPr>
        <w:t xml:space="preserve"> </w:t>
      </w:r>
      <w:r w:rsidRPr="006B3002">
        <w:rPr>
          <w:iCs/>
        </w:rPr>
        <w:t>comme une</w:t>
      </w:r>
      <w:r w:rsidR="0042570B" w:rsidRPr="006B3002">
        <w:rPr>
          <w:iCs/>
        </w:rPr>
        <w:t xml:space="preserve"> assiette carton pelliculé. </w:t>
      </w:r>
    </w:p>
    <w:p w14:paraId="651299DF" w14:textId="77777777" w:rsidR="00263A16" w:rsidRPr="006B3002" w:rsidRDefault="00263A16" w:rsidP="0042570B">
      <w:pPr>
        <w:pStyle w:val="Sansinterligne"/>
        <w:jc w:val="both"/>
        <w:rPr>
          <w:rFonts w:cstheme="minorHAnsi"/>
          <w:i/>
        </w:rPr>
      </w:pPr>
    </w:p>
    <w:p w14:paraId="4A92ADD3" w14:textId="332DC920" w:rsidR="0042570B" w:rsidRPr="006B3002" w:rsidRDefault="0042570B" w:rsidP="0042570B">
      <w:pPr>
        <w:pStyle w:val="Sansinterligne"/>
        <w:numPr>
          <w:ilvl w:val="0"/>
          <w:numId w:val="25"/>
        </w:numPr>
        <w:jc w:val="both"/>
        <w:rPr>
          <w:rFonts w:cstheme="minorHAnsi"/>
          <w:b/>
          <w:color w:val="002060"/>
        </w:rPr>
      </w:pPr>
      <w:r w:rsidRPr="006B3002">
        <w:rPr>
          <w:rFonts w:cstheme="minorHAnsi"/>
          <w:b/>
          <w:color w:val="002060"/>
        </w:rPr>
        <w:t>Qu’est-ce qu’un</w:t>
      </w:r>
      <w:r w:rsidR="0010781B" w:rsidRPr="006B3002">
        <w:rPr>
          <w:rFonts w:cstheme="minorHAnsi"/>
          <w:b/>
          <w:color w:val="002060"/>
        </w:rPr>
        <w:t xml:space="preserve"> produit en</w:t>
      </w:r>
      <w:r w:rsidRPr="006B3002">
        <w:rPr>
          <w:rFonts w:cstheme="minorHAnsi"/>
          <w:b/>
          <w:color w:val="002060"/>
        </w:rPr>
        <w:t xml:space="preserve"> plastique à usage unique ?</w:t>
      </w:r>
    </w:p>
    <w:p w14:paraId="7EF3A47B" w14:textId="58020730" w:rsidR="00FE0857" w:rsidRPr="0018740B" w:rsidRDefault="00FE0857" w:rsidP="00AE7C85">
      <w:pPr>
        <w:pStyle w:val="NormalWeb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La </w:t>
      </w:r>
      <w:r w:rsidR="00DC11DF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d</w:t>
      </w: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irective SUP définit un produit en plastique à usage unique comme « </w:t>
      </w:r>
      <w:r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un produit fabriqué </w:t>
      </w:r>
      <w:proofErr w:type="spellStart"/>
      <w:r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entièrement</w:t>
      </w:r>
      <w:proofErr w:type="spellEnd"/>
      <w:r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ou partiellement à partir de plastique et </w:t>
      </w:r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qui n’est pas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conçu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,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crée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́ ou mis sur le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marche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́ pour accomplir, pendant sa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durée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de vie, plusieurs trajets ou rotations en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étant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retourné à un producteur pour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être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rempli à nouveau ou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réutilise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́ pour un usage identique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a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̀ celui pour lequel il a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éte</w:t>
      </w:r>
      <w:proofErr w:type="spellEnd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́ </w:t>
      </w:r>
      <w:proofErr w:type="spellStart"/>
      <w:r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conçu</w:t>
      </w:r>
      <w:proofErr w:type="spellEnd"/>
      <w:r w:rsidR="000E657C" w:rsidRPr="0018740B">
        <w:rPr>
          <w:rStyle w:val="Appelnotedebasdep"/>
          <w:rFonts w:asciiTheme="minorHAnsi" w:eastAsiaTheme="minorHAnsi" w:hAnsiTheme="minorHAnsi" w:cstheme="minorBidi"/>
          <w:i/>
          <w:sz w:val="22"/>
          <w:szCs w:val="22"/>
          <w:lang w:eastAsia="en-US"/>
        </w:rPr>
        <w:footnoteReference w:id="2"/>
      </w: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 »</w:t>
      </w:r>
    </w:p>
    <w:p w14:paraId="05AD6002" w14:textId="0091E412" w:rsidR="003468DA" w:rsidRPr="0018740B" w:rsidRDefault="001A0F87" w:rsidP="00F1142E">
      <w:pPr>
        <w:pStyle w:val="NormalWeb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La d</w:t>
      </w:r>
      <w:r w:rsidR="00AE7C85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irective SUP précise par ailleurs que</w:t>
      </w:r>
      <w:r w:rsidR="00340A98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="00340A9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« </w:t>
      </w:r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Les</w:t>
      </w:r>
      <w:r w:rsidR="00340A9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produits en plastique à usage unique sont 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généralement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destinés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à n’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être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utilisés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qu’une seule fois ou que pendant une courte 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durée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avant d’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être</w:t>
      </w:r>
      <w:proofErr w:type="spellEnd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340A9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éliminés</w:t>
      </w:r>
      <w:proofErr w:type="spellEnd"/>
      <w:r w:rsidR="00340A98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</w:t>
      </w:r>
      <w:r w:rsidR="00340A98" w:rsidRPr="0018740B">
        <w:rPr>
          <w:rStyle w:val="Appelnotedebasdep"/>
          <w:rFonts w:asciiTheme="minorHAnsi" w:eastAsiaTheme="minorHAnsi" w:hAnsiTheme="minorHAnsi" w:cstheme="minorBidi"/>
          <w:iCs/>
          <w:sz w:val="22"/>
          <w:szCs w:val="22"/>
          <w:lang w:eastAsia="en-US"/>
        </w:rPr>
        <w:footnoteReference w:id="3"/>
      </w:r>
      <w:r w:rsidR="00340A98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 » </w:t>
      </w:r>
      <w:r w:rsidR="00FF45EB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 citant pour exemple </w:t>
      </w:r>
      <w:r w:rsidR="00FF45EB" w:rsidRPr="0018740B">
        <w:rPr>
          <w:rFonts w:asciiTheme="minorHAnsi" w:hAnsiTheme="minorHAnsi"/>
          <w:iCs/>
        </w:rPr>
        <w:t>« </w:t>
      </w:r>
      <w:r w:rsidR="00FF45EB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l</w:t>
      </w:r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es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pour l’alimentation rapide ou les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boîtes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à repas, à sandwichs, à wraps et à salades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destinées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à des aliments chauds ou froids, ou les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pour aliments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destinés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aux aliments frais ou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transformés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ne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nécessitant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pas de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préparation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supplémentaire</w:t>
      </w:r>
      <w:proofErr w:type="spellEnd"/>
      <w:r w:rsidR="000665FC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,</w:t>
      </w:r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tels que les fruits, les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légumes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ou les desserts</w:t>
      </w:r>
      <w:r w:rsidR="005A0AD9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(…)».</w:t>
      </w:r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14:paraId="69113D6E" w14:textId="2AE0DF04" w:rsidR="00777B15" w:rsidRPr="0018740B" w:rsidRDefault="001A0F87" w:rsidP="00F1142E">
      <w:pPr>
        <w:pStyle w:val="NormalWeb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lastRenderedPageBreak/>
        <w:t>La d</w:t>
      </w:r>
      <w:r w:rsidR="003468DA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irective</w:t>
      </w:r>
      <w:r w:rsidR="005A0AD9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exclut ainsi « </w:t>
      </w:r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Les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pour aliments contenant des aliments secs ou des aliments vendus froids qui exigent une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préparation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supplémentaire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les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contenant des aliments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présentés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dans des portions plus grandes que des portions individuelles ou les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pour aliments contenant des portions individuelles vendus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̀ plus d’une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unite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́ constituent des exemples de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récipients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pour aliments ne devant pas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être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considérés</w:t>
      </w:r>
      <w:proofErr w:type="spellEnd"/>
      <w:r w:rsidR="000665FC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comme des produits en plastique à usage unique</w:t>
      </w:r>
      <w:r w:rsidR="00FF45EB" w:rsidRPr="0018740B">
        <w:rPr>
          <w:rFonts w:asciiTheme="minorHAnsi" w:hAnsiTheme="minorHAnsi"/>
          <w:iCs/>
        </w:rPr>
        <w:t> »</w:t>
      </w:r>
    </w:p>
    <w:p w14:paraId="3F5010B4" w14:textId="0A110C66" w:rsidR="00E425C9" w:rsidRPr="0018740B" w:rsidRDefault="00B40A86" w:rsidP="00E425C9">
      <w:pPr>
        <w:pStyle w:val="NormalWeb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Enfin, elle indique </w:t>
      </w:r>
      <w:r w:rsidR="00685F68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que « </w:t>
      </w:r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pour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déterminer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si un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récipient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pour aliments doit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être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considére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́ comme un produit en plastique à usage unique</w:t>
      </w:r>
      <w:r w:rsidR="00685F6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(…) </w:t>
      </w:r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sa</w:t>
      </w:r>
      <w:r w:rsidR="00685F6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tendance à devenir un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déchet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sauvage</w:t>
      </w:r>
      <w:r w:rsidR="00685F6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 en raison de son volume ou de sa taille, en particulier dans le cas des portions individuelles</w:t>
      </w:r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, joue un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rôle</w:t>
      </w:r>
      <w:proofErr w:type="spellEnd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proofErr w:type="spellStart"/>
      <w:r w:rsidR="00685F68" w:rsidRPr="0018740B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décisif</w:t>
      </w:r>
      <w:proofErr w:type="spellEnd"/>
      <w:r w:rsidR="00685F68" w:rsidRPr="0018740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="00AE758E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 </w:t>
      </w:r>
      <w:r w:rsidR="00E425C9" w:rsidRPr="0018740B">
        <w:rPr>
          <w:rStyle w:val="Appelnotedebasdep"/>
          <w:rFonts w:asciiTheme="minorHAnsi" w:eastAsiaTheme="minorHAnsi" w:hAnsiTheme="minorHAnsi" w:cstheme="minorBidi"/>
          <w:iCs/>
          <w:sz w:val="22"/>
          <w:szCs w:val="22"/>
          <w:lang w:eastAsia="en-US"/>
        </w:rPr>
        <w:footnoteReference w:id="4"/>
      </w:r>
      <w:r w:rsidR="00AE758E" w:rsidRPr="0018740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»</w:t>
      </w:r>
    </w:p>
    <w:p w14:paraId="2E9927F8" w14:textId="30F8AA68" w:rsidR="00445480" w:rsidRPr="006B3002" w:rsidRDefault="00685F68" w:rsidP="002A5B6C">
      <w:pPr>
        <w:pStyle w:val="NormalWeb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Au plus tard le 3 juillet 2020,</w:t>
      </w:r>
      <w:r w:rsidR="00AE758E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la Commission européenne publiera des orientations (</w:t>
      </w:r>
      <w:r w:rsidR="008F3E6C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g</w:t>
      </w:r>
      <w:r w:rsidR="00AE758E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uidelines) comprenant des exemples précis de produits en plastiques à </w:t>
      </w:r>
      <w:proofErr w:type="gramStart"/>
      <w:r w:rsidR="00AE758E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usage</w:t>
      </w:r>
      <w:proofErr w:type="gramEnd"/>
      <w:r w:rsidR="00AE758E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unique.</w:t>
      </w:r>
    </w:p>
    <w:p w14:paraId="0EBDB034" w14:textId="4EAE2D46" w:rsidR="004A775E" w:rsidRPr="006B3002" w:rsidRDefault="004A775E" w:rsidP="002A5B6C">
      <w:pPr>
        <w:pStyle w:val="NormalWeb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La FAQ publié</w:t>
      </w:r>
      <w:r w:rsidR="00433959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e</w:t>
      </w:r>
      <w:r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par le MTES</w:t>
      </w:r>
      <w:r w:rsidR="002E7DC5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="008F3E6C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prévoit un critère de réutilisabilité de 20 lavages</w:t>
      </w:r>
      <w:r w:rsidR="00433959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 : cette FAQ est aujourd’hui valable pour les gobelets, verres et assiettes jetables, mais est pris en compte pour les alternatives</w:t>
      </w:r>
      <w:r w:rsidR="00977FC4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aux autres produits interdits. Par ailleurs, il existe une problématique sur la réelle réutilisabilité des produits qui répondraient </w:t>
      </w:r>
      <w:r w:rsidR="00151EA8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à ce critère. </w:t>
      </w:r>
      <w:r w:rsidR="00977FC4" w:rsidRPr="006B3002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Pour toutes ces raisons, la question de la mise à jour de cette FAQ se pose donc. </w:t>
      </w:r>
    </w:p>
    <w:p w14:paraId="1D22CE0B" w14:textId="2CE6D576" w:rsidR="006D4D74" w:rsidRPr="006B3002" w:rsidRDefault="004A775E" w:rsidP="00CE0EA1">
      <w:pPr>
        <w:pStyle w:val="Sansinterligne"/>
        <w:numPr>
          <w:ilvl w:val="0"/>
          <w:numId w:val="25"/>
        </w:numPr>
        <w:jc w:val="both"/>
        <w:rPr>
          <w:rFonts w:cstheme="minorHAnsi"/>
          <w:b/>
          <w:color w:val="002060"/>
        </w:rPr>
      </w:pPr>
      <w:r w:rsidRPr="006B3002">
        <w:rPr>
          <w:rFonts w:cstheme="minorHAnsi"/>
          <w:b/>
          <w:color w:val="002060"/>
        </w:rPr>
        <w:t>U</w:t>
      </w:r>
      <w:r w:rsidR="002A5B6C" w:rsidRPr="006B3002">
        <w:rPr>
          <w:rFonts w:cstheme="minorHAnsi"/>
          <w:b/>
          <w:color w:val="002060"/>
        </w:rPr>
        <w:t>n emballage peut-il être interdit ?</w:t>
      </w:r>
    </w:p>
    <w:p w14:paraId="4CEB8630" w14:textId="74CAA54A" w:rsidR="002A5B6C" w:rsidRPr="006B3002" w:rsidRDefault="002A5B6C" w:rsidP="002A5B6C">
      <w:pPr>
        <w:pStyle w:val="Sansinterligne"/>
        <w:jc w:val="both"/>
        <w:rPr>
          <w:rFonts w:cstheme="minorHAnsi"/>
          <w:b/>
          <w:color w:val="002060"/>
        </w:rPr>
      </w:pPr>
    </w:p>
    <w:p w14:paraId="571BE0FF" w14:textId="2F6EC70A" w:rsidR="002B1ED5" w:rsidRPr="00B143C8" w:rsidRDefault="000630E1" w:rsidP="002B1ED5">
      <w:pPr>
        <w:pStyle w:val="Sansinterligne"/>
        <w:jc w:val="both"/>
        <w:rPr>
          <w:rFonts w:cstheme="minorHAnsi"/>
        </w:rPr>
      </w:pPr>
      <w:r w:rsidRPr="006B3002">
        <w:rPr>
          <w:iCs/>
        </w:rPr>
        <w:t xml:space="preserve">Le </w:t>
      </w:r>
      <w:r w:rsidRPr="006B3002">
        <w:rPr>
          <w:bCs/>
          <w:iCs/>
        </w:rPr>
        <w:t>droit européen</w:t>
      </w:r>
      <w:r w:rsidR="00DB2CB9" w:rsidRPr="006B3002">
        <w:rPr>
          <w:bCs/>
          <w:iCs/>
        </w:rPr>
        <w:t xml:space="preserve"> </w:t>
      </w:r>
      <w:r w:rsidR="00193625" w:rsidRPr="006B3002">
        <w:rPr>
          <w:rFonts w:cstheme="minorHAnsi"/>
          <w:bCs/>
        </w:rPr>
        <w:t>actuellement en vigueur interdit d’interdire un emballage</w:t>
      </w:r>
      <w:r w:rsidR="004A775E" w:rsidRPr="006B3002">
        <w:rPr>
          <w:rFonts w:cstheme="minorHAnsi"/>
          <w:bCs/>
        </w:rPr>
        <w:t xml:space="preserve"> en application de la d</w:t>
      </w:r>
      <w:r w:rsidR="00DB2CB9" w:rsidRPr="006B3002">
        <w:rPr>
          <w:rFonts w:cstheme="minorHAnsi"/>
          <w:bCs/>
        </w:rPr>
        <w:t>irective 94/62/CE</w:t>
      </w:r>
      <w:r w:rsidR="00DB2CB9" w:rsidRPr="006B3002">
        <w:rPr>
          <w:rStyle w:val="Appelnotedebasdep"/>
          <w:bCs/>
          <w:iCs/>
        </w:rPr>
        <w:footnoteReference w:id="5"/>
      </w:r>
      <w:r w:rsidR="00DB2CB9" w:rsidRPr="006B3002">
        <w:rPr>
          <w:rFonts w:cstheme="minorHAnsi"/>
          <w:bCs/>
        </w:rPr>
        <w:t>.</w:t>
      </w:r>
      <w:r w:rsidR="003468DA" w:rsidRPr="006B3002">
        <w:rPr>
          <w:rFonts w:cstheme="minorHAnsi"/>
          <w:bCs/>
        </w:rPr>
        <w:t xml:space="preserve"> En effet, le principe de liberté de circulation prime dans le marché unique européen.</w:t>
      </w:r>
      <w:r w:rsidR="004A775E" w:rsidRPr="006B3002">
        <w:rPr>
          <w:rFonts w:cstheme="minorHAnsi"/>
          <w:bCs/>
        </w:rPr>
        <w:t xml:space="preserve"> </w:t>
      </w:r>
      <w:r w:rsidR="00DB2CB9" w:rsidRPr="006B3002">
        <w:rPr>
          <w:rFonts w:cstheme="minorHAnsi"/>
        </w:rPr>
        <w:t xml:space="preserve">Cette interdiction </w:t>
      </w:r>
      <w:r w:rsidR="00DB2CB9" w:rsidRPr="006B3002">
        <w:rPr>
          <w:rFonts w:cstheme="minorHAnsi"/>
          <w:b/>
          <w:bCs/>
        </w:rPr>
        <w:t xml:space="preserve">sera levée le 3 juillet 2021 pour les </w:t>
      </w:r>
      <w:r w:rsidR="00535854" w:rsidRPr="006B3002">
        <w:rPr>
          <w:rFonts w:cstheme="minorHAnsi"/>
          <w:b/>
          <w:bCs/>
        </w:rPr>
        <w:t xml:space="preserve">emballages considérés comme des </w:t>
      </w:r>
      <w:r w:rsidR="00DB2CB9" w:rsidRPr="006B3002">
        <w:rPr>
          <w:rFonts w:cstheme="minorHAnsi"/>
          <w:b/>
          <w:bCs/>
        </w:rPr>
        <w:t>produits en plastique à usage unique</w:t>
      </w:r>
      <w:r w:rsidR="008F0FEA">
        <w:rPr>
          <w:rFonts w:cstheme="minorHAnsi"/>
          <w:b/>
          <w:bCs/>
        </w:rPr>
        <w:t xml:space="preserve"> au sens</w:t>
      </w:r>
      <w:r w:rsidR="00DB2CB9" w:rsidRPr="006B3002">
        <w:rPr>
          <w:rFonts w:cstheme="minorHAnsi"/>
          <w:b/>
          <w:bCs/>
        </w:rPr>
        <w:t xml:space="preserve"> </w:t>
      </w:r>
      <w:r w:rsidR="008F0FEA">
        <w:rPr>
          <w:rFonts w:cstheme="minorHAnsi"/>
          <w:b/>
          <w:bCs/>
        </w:rPr>
        <w:t xml:space="preserve">de </w:t>
      </w:r>
      <w:r w:rsidR="004A775E" w:rsidRPr="006B3002">
        <w:rPr>
          <w:rFonts w:cstheme="minorHAnsi"/>
          <w:b/>
          <w:bCs/>
        </w:rPr>
        <w:t>la d</w:t>
      </w:r>
      <w:r w:rsidR="00DB2CB9" w:rsidRPr="006B3002">
        <w:rPr>
          <w:rFonts w:cstheme="minorHAnsi"/>
          <w:b/>
          <w:bCs/>
        </w:rPr>
        <w:t>irective européenne 2019/904 (SUP)</w:t>
      </w:r>
      <w:r w:rsidR="008F0FEA">
        <w:rPr>
          <w:rFonts w:cstheme="minorHAnsi"/>
        </w:rPr>
        <w:t xml:space="preserve"> </w:t>
      </w:r>
      <w:r w:rsidR="008F0FEA" w:rsidRPr="008F0FEA">
        <w:rPr>
          <w:rFonts w:cstheme="minorHAnsi"/>
          <w:b/>
          <w:bCs/>
        </w:rPr>
        <w:t xml:space="preserve">et </w:t>
      </w:r>
      <w:r w:rsidR="008F0FEA">
        <w:rPr>
          <w:rFonts w:cstheme="minorHAnsi"/>
          <w:b/>
          <w:bCs/>
        </w:rPr>
        <w:t>cités dans la partie B de cette même directive.</w:t>
      </w:r>
      <w:r w:rsidR="00B143C8">
        <w:rPr>
          <w:rFonts w:cstheme="minorHAnsi"/>
          <w:b/>
          <w:bCs/>
        </w:rPr>
        <w:t xml:space="preserve"> Les produits cités dans la partie A de la directive (</w:t>
      </w:r>
      <w:r w:rsidR="005F58A3">
        <w:rPr>
          <w:rFonts w:cstheme="minorHAnsi"/>
          <w:b/>
          <w:bCs/>
        </w:rPr>
        <w:t>g</w:t>
      </w:r>
      <w:r w:rsidR="00B143C8">
        <w:rPr>
          <w:rFonts w:cstheme="minorHAnsi"/>
          <w:b/>
          <w:bCs/>
        </w:rPr>
        <w:t>obelets pour boissons et récipients pour aliments</w:t>
      </w:r>
      <w:r w:rsidR="001D25AC">
        <w:rPr>
          <w:rFonts w:cstheme="minorHAnsi"/>
          <w:b/>
          <w:bCs/>
        </w:rPr>
        <w:t xml:space="preserve"> en consommation immédiate</w:t>
      </w:r>
      <w:r w:rsidR="00B143C8">
        <w:rPr>
          <w:rFonts w:cstheme="minorHAnsi"/>
          <w:b/>
          <w:bCs/>
        </w:rPr>
        <w:t>) sont visés par des mesures de réduction. Il y a donc sur</w:t>
      </w:r>
      <w:r w:rsidR="005F58A3">
        <w:rPr>
          <w:rFonts w:cstheme="minorHAnsi"/>
          <w:b/>
          <w:bCs/>
        </w:rPr>
        <w:t>-</w:t>
      </w:r>
      <w:r w:rsidR="00B143C8">
        <w:rPr>
          <w:rFonts w:cstheme="minorHAnsi"/>
          <w:b/>
          <w:bCs/>
        </w:rPr>
        <w:t>transposition du droit européen dans la loi française pour ces produits.</w:t>
      </w:r>
    </w:p>
    <w:p w14:paraId="2B76DCAC" w14:textId="77777777" w:rsidR="002B1ED5" w:rsidRPr="006B3002" w:rsidRDefault="002B1ED5" w:rsidP="002B1ED5">
      <w:pPr>
        <w:pStyle w:val="Sansinterligne"/>
        <w:jc w:val="both"/>
        <w:rPr>
          <w:rFonts w:cstheme="minorHAnsi"/>
        </w:rPr>
      </w:pPr>
    </w:p>
    <w:p w14:paraId="26B58BB5" w14:textId="47D691E4" w:rsidR="002B1ED5" w:rsidRPr="006B3002" w:rsidRDefault="00B52483" w:rsidP="002B1ED5">
      <w:pPr>
        <w:pStyle w:val="Sansinterligne"/>
        <w:jc w:val="both"/>
        <w:rPr>
          <w:rFonts w:cstheme="minorHAnsi"/>
          <w:b/>
          <w:bCs/>
        </w:rPr>
      </w:pPr>
      <w:r w:rsidRPr="006B3002">
        <w:rPr>
          <w:rFonts w:cstheme="minorHAnsi"/>
          <w:b/>
          <w:bCs/>
        </w:rPr>
        <w:t>Ainsi, les produits en plastique à usage unique considérés comme des emballages ne peuvent pas être interdits à compter du 1</w:t>
      </w:r>
      <w:r w:rsidRPr="0018740B">
        <w:rPr>
          <w:rFonts w:cstheme="minorHAnsi"/>
          <w:b/>
          <w:bCs/>
          <w:vertAlign w:val="superscript"/>
        </w:rPr>
        <w:t>er</w:t>
      </w:r>
      <w:r w:rsidR="005F58A3">
        <w:rPr>
          <w:rFonts w:cstheme="minorHAnsi"/>
          <w:b/>
          <w:bCs/>
        </w:rPr>
        <w:t xml:space="preserve"> </w:t>
      </w:r>
      <w:r w:rsidRPr="006B3002">
        <w:rPr>
          <w:rFonts w:cstheme="minorHAnsi"/>
          <w:b/>
          <w:bCs/>
        </w:rPr>
        <w:t>janvier 2020 mais seulement à compter du 3 juillet 2021.</w:t>
      </w:r>
      <w:r w:rsidR="002B1ED5" w:rsidRPr="006B3002">
        <w:rPr>
          <w:rFonts w:cstheme="minorHAnsi"/>
          <w:b/>
          <w:bCs/>
        </w:rPr>
        <w:t xml:space="preserve"> Ces dispositions sont confirmée</w:t>
      </w:r>
      <w:r w:rsidR="001D7A30" w:rsidRPr="006B3002">
        <w:rPr>
          <w:rFonts w:cstheme="minorHAnsi"/>
          <w:b/>
          <w:bCs/>
        </w:rPr>
        <w:t>s</w:t>
      </w:r>
      <w:r w:rsidR="002B1ED5" w:rsidRPr="006B3002">
        <w:rPr>
          <w:rFonts w:cstheme="minorHAnsi"/>
          <w:b/>
          <w:bCs/>
        </w:rPr>
        <w:t xml:space="preserve"> par le </w:t>
      </w:r>
      <w:r w:rsidR="00ED0B6B" w:rsidRPr="006B3002">
        <w:rPr>
          <w:rFonts w:cstheme="minorHAnsi"/>
          <w:b/>
          <w:bCs/>
        </w:rPr>
        <w:t>décret</w:t>
      </w:r>
      <w:r w:rsidR="002B1ED5" w:rsidRPr="006B3002">
        <w:rPr>
          <w:rFonts w:cstheme="minorHAnsi"/>
          <w:b/>
          <w:bCs/>
        </w:rPr>
        <w:t xml:space="preserve"> 2019-1451 du 24 </w:t>
      </w:r>
      <w:r w:rsidR="00ED0B6B" w:rsidRPr="006B3002">
        <w:rPr>
          <w:rFonts w:cstheme="minorHAnsi"/>
          <w:b/>
          <w:bCs/>
        </w:rPr>
        <w:t>décembre</w:t>
      </w:r>
      <w:r w:rsidR="002B1ED5" w:rsidRPr="006B3002">
        <w:rPr>
          <w:rFonts w:cstheme="minorHAnsi"/>
          <w:b/>
          <w:bCs/>
        </w:rPr>
        <w:t xml:space="preserve"> 2019 relatif à l’interdiction de certains produits en plastique à usage unique </w:t>
      </w:r>
    </w:p>
    <w:p w14:paraId="677EA39D" w14:textId="0057B09B" w:rsidR="00A15A30" w:rsidRPr="006B3002" w:rsidRDefault="00A15A30" w:rsidP="002B1ED5">
      <w:pPr>
        <w:pStyle w:val="Sansinterligne"/>
        <w:jc w:val="both"/>
        <w:rPr>
          <w:rFonts w:cstheme="minorHAnsi"/>
          <w:b/>
          <w:bCs/>
        </w:rPr>
      </w:pPr>
    </w:p>
    <w:p w14:paraId="24DDB984" w14:textId="5BE8E80E" w:rsidR="00A15A30" w:rsidRPr="006B3002" w:rsidRDefault="00A15A30" w:rsidP="00A15A30">
      <w:pPr>
        <w:pStyle w:val="Sansinterligne"/>
        <w:numPr>
          <w:ilvl w:val="0"/>
          <w:numId w:val="25"/>
        </w:numPr>
        <w:jc w:val="both"/>
        <w:rPr>
          <w:rFonts w:cstheme="minorHAnsi"/>
          <w:b/>
          <w:color w:val="002060"/>
        </w:rPr>
      </w:pPr>
      <w:r w:rsidRPr="006B3002">
        <w:rPr>
          <w:rFonts w:cstheme="minorHAnsi"/>
          <w:b/>
          <w:color w:val="002060"/>
        </w:rPr>
        <w:lastRenderedPageBreak/>
        <w:t>Les boites, saladiers et pot à glace sont</w:t>
      </w:r>
      <w:r w:rsidR="004A775E" w:rsidRPr="006B3002">
        <w:rPr>
          <w:rFonts w:cstheme="minorHAnsi"/>
          <w:b/>
          <w:color w:val="002060"/>
        </w:rPr>
        <w:t>-</w:t>
      </w:r>
      <w:r w:rsidRPr="006B3002">
        <w:rPr>
          <w:rFonts w:cstheme="minorHAnsi"/>
          <w:b/>
          <w:color w:val="002060"/>
        </w:rPr>
        <w:t>ils interdits ?</w:t>
      </w:r>
    </w:p>
    <w:p w14:paraId="01316545" w14:textId="77777777" w:rsidR="00A15A30" w:rsidRPr="006B3002" w:rsidRDefault="00A15A30" w:rsidP="00A15A30">
      <w:pPr>
        <w:pStyle w:val="Sansinterligne"/>
        <w:jc w:val="both"/>
        <w:rPr>
          <w:rFonts w:cstheme="minorHAnsi"/>
          <w:b/>
          <w:color w:val="002060"/>
        </w:rPr>
      </w:pPr>
    </w:p>
    <w:p w14:paraId="3F1ED35F" w14:textId="547D22E8" w:rsidR="00A15A30" w:rsidRPr="006B3002" w:rsidRDefault="00A15A30" w:rsidP="002B1ED5">
      <w:pPr>
        <w:pStyle w:val="Sansinterligne"/>
        <w:jc w:val="both"/>
        <w:rPr>
          <w:rFonts w:cstheme="minorHAnsi"/>
        </w:rPr>
      </w:pPr>
      <w:r w:rsidRPr="006B3002">
        <w:rPr>
          <w:rFonts w:cstheme="minorHAnsi"/>
        </w:rPr>
        <w:t>Non, la loi relative à lutte contre le gaspillage</w:t>
      </w:r>
      <w:r w:rsidR="00247364" w:rsidRPr="006B3002">
        <w:rPr>
          <w:rFonts w:cstheme="minorHAnsi"/>
        </w:rPr>
        <w:t xml:space="preserve"> a supprimé</w:t>
      </w:r>
      <w:r w:rsidRPr="006B3002">
        <w:rPr>
          <w:rFonts w:cstheme="minorHAnsi"/>
        </w:rPr>
        <w:t xml:space="preserve"> ces interdictions </w:t>
      </w:r>
      <w:r w:rsidR="00247364" w:rsidRPr="006B3002">
        <w:rPr>
          <w:rFonts w:cstheme="minorHAnsi"/>
        </w:rPr>
        <w:t xml:space="preserve">ajoutées par </w:t>
      </w:r>
      <w:r w:rsidRPr="006B3002">
        <w:rPr>
          <w:rFonts w:cstheme="minorHAnsi"/>
        </w:rPr>
        <w:t>la loi EGALIM</w:t>
      </w:r>
      <w:r w:rsidR="004A775E" w:rsidRPr="006B3002">
        <w:rPr>
          <w:rFonts w:cstheme="minorHAnsi"/>
        </w:rPr>
        <w:t>, sauf pour les emballages en polystyrène</w:t>
      </w:r>
      <w:r w:rsidR="009A67D4" w:rsidRPr="006B3002">
        <w:rPr>
          <w:rFonts w:cstheme="minorHAnsi"/>
        </w:rPr>
        <w:t xml:space="preserve"> expansé</w:t>
      </w:r>
      <w:r w:rsidRPr="006B3002">
        <w:rPr>
          <w:rFonts w:cstheme="minorHAnsi"/>
        </w:rPr>
        <w:t xml:space="preserve">. </w:t>
      </w:r>
    </w:p>
    <w:p w14:paraId="44F9695F" w14:textId="1DBD723A" w:rsidR="00535854" w:rsidRPr="006B3002" w:rsidRDefault="00535854" w:rsidP="002A5B6C">
      <w:pPr>
        <w:pStyle w:val="Sansinterligne"/>
        <w:jc w:val="both"/>
        <w:rPr>
          <w:rFonts w:cstheme="minorHAnsi"/>
        </w:rPr>
      </w:pPr>
    </w:p>
    <w:p w14:paraId="5F0D6885" w14:textId="26F1637B" w:rsidR="009A24E3" w:rsidRPr="006B3002" w:rsidRDefault="009A24E3" w:rsidP="00A15A30">
      <w:pPr>
        <w:pStyle w:val="Sansinterligne"/>
        <w:numPr>
          <w:ilvl w:val="0"/>
          <w:numId w:val="25"/>
        </w:numPr>
        <w:jc w:val="both"/>
        <w:rPr>
          <w:rFonts w:cstheme="minorHAnsi"/>
          <w:i/>
        </w:rPr>
      </w:pPr>
      <w:r w:rsidRPr="006B3002">
        <w:rPr>
          <w:rFonts w:cstheme="minorHAnsi"/>
          <w:b/>
          <w:color w:val="002060"/>
        </w:rPr>
        <w:t>Les mesures de réduction (</w:t>
      </w:r>
      <w:r w:rsidR="004A775E" w:rsidRPr="006B3002">
        <w:rPr>
          <w:rFonts w:cstheme="minorHAnsi"/>
          <w:b/>
          <w:color w:val="002060"/>
        </w:rPr>
        <w:t>a</w:t>
      </w:r>
      <w:r w:rsidRPr="006B3002">
        <w:rPr>
          <w:rFonts w:cstheme="minorHAnsi"/>
          <w:b/>
          <w:color w:val="002060"/>
        </w:rPr>
        <w:t xml:space="preserve">rticle 4) de la </w:t>
      </w:r>
      <w:r w:rsidR="004A775E" w:rsidRPr="006B3002">
        <w:rPr>
          <w:rFonts w:cstheme="minorHAnsi"/>
          <w:b/>
          <w:color w:val="002060"/>
        </w:rPr>
        <w:t>d</w:t>
      </w:r>
      <w:r w:rsidRPr="006B3002">
        <w:rPr>
          <w:rFonts w:cstheme="minorHAnsi"/>
          <w:b/>
          <w:color w:val="002060"/>
        </w:rPr>
        <w:t>irective européenne 2019/904 (SUP) vont-elles devenir des interdictions en droit national ?</w:t>
      </w:r>
    </w:p>
    <w:p w14:paraId="3B8F6A97" w14:textId="15823B7B" w:rsidR="006B4FD1" w:rsidRPr="006B3002" w:rsidRDefault="009A24E3" w:rsidP="006B4FD1">
      <w:pPr>
        <w:pStyle w:val="NormalWeb"/>
        <w:rPr>
          <w:rFonts w:asciiTheme="minorHAnsi" w:hAnsiTheme="minorHAnsi"/>
          <w:sz w:val="22"/>
          <w:szCs w:val="22"/>
        </w:rPr>
      </w:pPr>
      <w:r w:rsidRPr="006B3002">
        <w:rPr>
          <w:rFonts w:asciiTheme="minorHAnsi" w:hAnsiTheme="minorHAnsi" w:cstheme="minorHAnsi"/>
          <w:iCs/>
          <w:sz w:val="22"/>
          <w:szCs w:val="22"/>
        </w:rPr>
        <w:t xml:space="preserve">L’article 4 de la </w:t>
      </w:r>
      <w:r w:rsidR="004A775E" w:rsidRPr="006B3002">
        <w:rPr>
          <w:rFonts w:asciiTheme="minorHAnsi" w:hAnsiTheme="minorHAnsi" w:cstheme="minorHAnsi"/>
          <w:iCs/>
          <w:sz w:val="22"/>
          <w:szCs w:val="22"/>
        </w:rPr>
        <w:t>d</w:t>
      </w:r>
      <w:r w:rsidRPr="006B3002">
        <w:rPr>
          <w:rFonts w:asciiTheme="minorHAnsi" w:hAnsiTheme="minorHAnsi" w:cstheme="minorHAnsi"/>
          <w:iCs/>
          <w:sz w:val="22"/>
          <w:szCs w:val="22"/>
        </w:rPr>
        <w:t>irective 2019/904 (SUP)</w:t>
      </w:r>
      <w:r w:rsidR="00E76C53" w:rsidRPr="006B3002">
        <w:rPr>
          <w:rFonts w:asciiTheme="minorHAnsi" w:hAnsiTheme="minorHAnsi" w:cstheme="minorHAnsi"/>
          <w:iCs/>
          <w:sz w:val="22"/>
          <w:szCs w:val="22"/>
        </w:rPr>
        <w:t xml:space="preserve"> concerne la réduction de mise en marché</w:t>
      </w:r>
      <w:r w:rsidR="00DA7E65" w:rsidRPr="006B3002">
        <w:rPr>
          <w:rFonts w:asciiTheme="minorHAnsi" w:hAnsiTheme="minorHAnsi" w:cstheme="minorHAnsi"/>
          <w:iCs/>
          <w:sz w:val="22"/>
          <w:szCs w:val="22"/>
        </w:rPr>
        <w:t xml:space="preserve"> des produits en plastique suivants :</w:t>
      </w:r>
      <w:r w:rsidR="006B4FD1" w:rsidRPr="006B300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95AFA31" w14:textId="3FE29C6C" w:rsidR="00E87350" w:rsidRPr="006B3002" w:rsidRDefault="0077596D" w:rsidP="00692BBF">
      <w:pPr>
        <w:pStyle w:val="NormalWeb"/>
        <w:numPr>
          <w:ilvl w:val="0"/>
          <w:numId w:val="42"/>
        </w:numPr>
        <w:rPr>
          <w:rFonts w:asciiTheme="minorHAnsi" w:hAnsiTheme="minorHAnsi" w:cstheme="minorHAnsi"/>
          <w:iCs/>
        </w:rPr>
      </w:pPr>
      <w:r w:rsidRPr="006B3002">
        <w:rPr>
          <w:rFonts w:asciiTheme="minorHAnsi" w:hAnsiTheme="minorHAnsi" w:cstheme="minorHAnsi"/>
          <w:iCs/>
          <w:sz w:val="22"/>
          <w:szCs w:val="22"/>
        </w:rPr>
        <w:t>Récipients</w:t>
      </w:r>
      <w:r w:rsidR="006B4FD1" w:rsidRPr="006B3002">
        <w:rPr>
          <w:rFonts w:asciiTheme="minorHAnsi" w:hAnsiTheme="minorHAnsi" w:cstheme="minorHAnsi"/>
          <w:iCs/>
          <w:sz w:val="22"/>
          <w:szCs w:val="22"/>
        </w:rPr>
        <w:t xml:space="preserve"> pour aliments</w:t>
      </w:r>
    </w:p>
    <w:p w14:paraId="56922260" w14:textId="40309056" w:rsidR="00692BBF" w:rsidRPr="006B3002" w:rsidRDefault="009E08BE" w:rsidP="006B3002">
      <w:pPr>
        <w:jc w:val="both"/>
        <w:rPr>
          <w:rFonts w:asciiTheme="minorHAnsi" w:hAnsiTheme="minorHAnsi" w:cstheme="minorHAnsi"/>
          <w:iCs/>
        </w:rPr>
      </w:pPr>
      <w:r w:rsidRPr="006B3002">
        <w:rPr>
          <w:rFonts w:asciiTheme="minorHAnsi" w:hAnsiTheme="minorHAnsi" w:cstheme="minorHAnsi"/>
          <w:iCs/>
        </w:rPr>
        <w:t>Ainsi, si ces produits en plastique font l’objet d’interdictions</w:t>
      </w:r>
      <w:r w:rsidR="000635FD" w:rsidRPr="006B3002">
        <w:rPr>
          <w:rFonts w:asciiTheme="minorHAnsi" w:hAnsiTheme="minorHAnsi" w:cstheme="minorHAnsi"/>
          <w:iCs/>
        </w:rPr>
        <w:t xml:space="preserve"> en droit national, </w:t>
      </w:r>
      <w:r w:rsidR="00FF7128" w:rsidRPr="006B3002">
        <w:rPr>
          <w:rFonts w:asciiTheme="minorHAnsi" w:hAnsiTheme="minorHAnsi" w:cstheme="minorHAnsi"/>
          <w:iCs/>
        </w:rPr>
        <w:t>des</w:t>
      </w:r>
      <w:r w:rsidR="00320FB1" w:rsidRPr="006B3002">
        <w:rPr>
          <w:rFonts w:asciiTheme="minorHAnsi" w:hAnsiTheme="minorHAnsi" w:cstheme="minorHAnsi"/>
          <w:iCs/>
        </w:rPr>
        <w:t xml:space="preserve"> produits</w:t>
      </w:r>
      <w:r w:rsidR="00FF7128" w:rsidRPr="006B3002">
        <w:rPr>
          <w:rFonts w:asciiTheme="minorHAnsi" w:hAnsiTheme="minorHAnsi" w:cstheme="minorHAnsi"/>
          <w:iCs/>
        </w:rPr>
        <w:t xml:space="preserve"> alternati</w:t>
      </w:r>
      <w:r w:rsidR="00320FB1" w:rsidRPr="006B3002">
        <w:rPr>
          <w:rFonts w:asciiTheme="minorHAnsi" w:hAnsiTheme="minorHAnsi" w:cstheme="minorHAnsi"/>
          <w:iCs/>
        </w:rPr>
        <w:t>fs</w:t>
      </w:r>
      <w:r w:rsidR="00FF7128" w:rsidRPr="006B3002">
        <w:rPr>
          <w:rFonts w:asciiTheme="minorHAnsi" w:hAnsiTheme="minorHAnsi" w:cstheme="minorHAnsi"/>
          <w:iCs/>
        </w:rPr>
        <w:t xml:space="preserve"> doivent </w:t>
      </w:r>
      <w:r w:rsidR="00320FB1" w:rsidRPr="006B3002">
        <w:rPr>
          <w:rFonts w:asciiTheme="minorHAnsi" w:hAnsiTheme="minorHAnsi" w:cstheme="minorHAnsi"/>
          <w:iCs/>
        </w:rPr>
        <w:t xml:space="preserve">exister </w:t>
      </w:r>
      <w:r w:rsidR="00320FB1" w:rsidRPr="006B3002">
        <w:rPr>
          <w:rFonts w:asciiTheme="minorHAnsi" w:hAnsiTheme="minorHAnsi" w:cstheme="minorHAnsi"/>
          <w:b/>
          <w:bCs/>
          <w:iCs/>
        </w:rPr>
        <w:t xml:space="preserve">et être soit réutilisables </w:t>
      </w:r>
      <w:r w:rsidR="00B54C1B" w:rsidRPr="006B3002">
        <w:rPr>
          <w:rFonts w:asciiTheme="minorHAnsi" w:hAnsiTheme="minorHAnsi" w:cstheme="minorHAnsi"/>
          <w:b/>
          <w:bCs/>
          <w:iCs/>
        </w:rPr>
        <w:t>soit ne pas contenir de plastique</w:t>
      </w:r>
      <w:r w:rsidR="00B54C1B" w:rsidRPr="006B3002">
        <w:rPr>
          <w:rFonts w:asciiTheme="minorHAnsi" w:hAnsiTheme="minorHAnsi" w:cstheme="minorHAnsi"/>
          <w:iCs/>
        </w:rPr>
        <w:t xml:space="preserve"> comme le précise la lettre envoyée aux ambassadeurs des </w:t>
      </w:r>
      <w:r w:rsidR="00741F04" w:rsidRPr="006B3002">
        <w:rPr>
          <w:rFonts w:asciiTheme="minorHAnsi" w:hAnsiTheme="minorHAnsi" w:cstheme="minorHAnsi"/>
          <w:iCs/>
        </w:rPr>
        <w:t>États</w:t>
      </w:r>
      <w:r w:rsidR="00B54C1B" w:rsidRPr="006B3002">
        <w:rPr>
          <w:rFonts w:asciiTheme="minorHAnsi" w:hAnsiTheme="minorHAnsi" w:cstheme="minorHAnsi"/>
          <w:iCs/>
        </w:rPr>
        <w:t xml:space="preserve"> Membres par la Commission européenne</w:t>
      </w:r>
      <w:r w:rsidR="00741F04" w:rsidRPr="006B3002">
        <w:rPr>
          <w:rStyle w:val="Appelnotedebasdep"/>
          <w:rFonts w:asciiTheme="minorHAnsi" w:hAnsiTheme="minorHAnsi" w:cstheme="minorHAnsi"/>
          <w:iCs/>
        </w:rPr>
        <w:footnoteReference w:id="6"/>
      </w:r>
      <w:r w:rsidR="00B54C1B" w:rsidRPr="006B3002">
        <w:rPr>
          <w:rFonts w:asciiTheme="minorHAnsi" w:hAnsiTheme="minorHAnsi" w:cstheme="minorHAnsi"/>
          <w:iCs/>
        </w:rPr>
        <w:t>.</w:t>
      </w:r>
      <w:r w:rsidR="00741F04" w:rsidRPr="006B3002">
        <w:rPr>
          <w:rFonts w:asciiTheme="minorHAnsi" w:hAnsiTheme="minorHAnsi" w:cstheme="minorHAnsi"/>
          <w:iCs/>
        </w:rPr>
        <w:t xml:space="preserve"> Les produits laminés ou contenant une fiche couche de plastique </w:t>
      </w:r>
      <w:r w:rsidR="004A775E" w:rsidRPr="006B3002">
        <w:rPr>
          <w:rFonts w:asciiTheme="minorHAnsi" w:hAnsiTheme="minorHAnsi" w:cstheme="minorHAnsi"/>
          <w:iCs/>
        </w:rPr>
        <w:t xml:space="preserve">ne sont pas considérés comme des alternatives. </w:t>
      </w:r>
    </w:p>
    <w:p w14:paraId="21C37762" w14:textId="77777777" w:rsidR="00247364" w:rsidRPr="006B3002" w:rsidRDefault="00247364" w:rsidP="006B3002">
      <w:pPr>
        <w:jc w:val="both"/>
        <w:rPr>
          <w:rFonts w:asciiTheme="minorHAnsi" w:hAnsiTheme="minorHAnsi" w:cstheme="minorHAnsi"/>
          <w:iCs/>
        </w:rPr>
      </w:pPr>
    </w:p>
    <w:p w14:paraId="32BB8C4C" w14:textId="06F063B8" w:rsidR="0034569A" w:rsidRPr="006B3002" w:rsidRDefault="00B94DBE" w:rsidP="006B3002">
      <w:pPr>
        <w:jc w:val="both"/>
        <w:rPr>
          <w:rFonts w:asciiTheme="minorHAnsi" w:hAnsiTheme="minorHAnsi" w:cstheme="minorHAnsi"/>
          <w:iCs/>
        </w:rPr>
      </w:pPr>
      <w:r w:rsidRPr="006B3002">
        <w:rPr>
          <w:rFonts w:asciiTheme="minorHAnsi" w:hAnsiTheme="minorHAnsi" w:cstheme="minorHAnsi"/>
          <w:iCs/>
        </w:rPr>
        <w:t>En</w:t>
      </w:r>
      <w:r w:rsidR="0077596D" w:rsidRPr="006B3002">
        <w:rPr>
          <w:rFonts w:asciiTheme="minorHAnsi" w:hAnsiTheme="minorHAnsi" w:cstheme="minorHAnsi"/>
          <w:iCs/>
        </w:rPr>
        <w:t>suite</w:t>
      </w:r>
      <w:r w:rsidRPr="006B3002">
        <w:rPr>
          <w:rFonts w:asciiTheme="minorHAnsi" w:hAnsiTheme="minorHAnsi" w:cstheme="minorHAnsi"/>
          <w:iCs/>
        </w:rPr>
        <w:t>, la loi relative à la lutte contre le gaspillage et à l’économie circulaire fait l’objet</w:t>
      </w:r>
      <w:r w:rsidR="003B4338" w:rsidRPr="006B3002">
        <w:rPr>
          <w:rFonts w:asciiTheme="minorHAnsi" w:hAnsiTheme="minorHAnsi" w:cstheme="minorHAnsi"/>
          <w:iCs/>
        </w:rPr>
        <w:t xml:space="preserve"> de nombreuses obligations concernant </w:t>
      </w:r>
      <w:r w:rsidR="003B4338" w:rsidRPr="006B3002">
        <w:rPr>
          <w:rFonts w:asciiTheme="minorHAnsi" w:hAnsiTheme="minorHAnsi" w:cstheme="minorHAnsi"/>
          <w:b/>
          <w:bCs/>
          <w:iCs/>
        </w:rPr>
        <w:t xml:space="preserve">l’obligation de mettre en place des produits </w:t>
      </w:r>
      <w:r w:rsidR="00560651" w:rsidRPr="006B3002">
        <w:rPr>
          <w:rFonts w:asciiTheme="minorHAnsi" w:hAnsiTheme="minorHAnsi" w:cstheme="minorHAnsi"/>
          <w:b/>
          <w:bCs/>
          <w:iCs/>
        </w:rPr>
        <w:t xml:space="preserve">récipients réemployables </w:t>
      </w:r>
      <w:r w:rsidR="003B4338" w:rsidRPr="006B3002">
        <w:rPr>
          <w:rFonts w:asciiTheme="minorHAnsi" w:hAnsiTheme="minorHAnsi" w:cstheme="minorHAnsi"/>
          <w:iCs/>
        </w:rPr>
        <w:t xml:space="preserve">notamment pour la consommation </w:t>
      </w:r>
      <w:r w:rsidR="00412466" w:rsidRPr="006B3002">
        <w:rPr>
          <w:rFonts w:asciiTheme="minorHAnsi" w:hAnsiTheme="minorHAnsi" w:cstheme="minorHAnsi"/>
          <w:iCs/>
        </w:rPr>
        <w:t xml:space="preserve">sur place dans les lieux de restauration. </w:t>
      </w:r>
      <w:r w:rsidR="00412466" w:rsidRPr="006B3002">
        <w:rPr>
          <w:rFonts w:asciiTheme="minorHAnsi" w:hAnsiTheme="minorHAnsi" w:cstheme="minorHAnsi"/>
          <w:b/>
          <w:bCs/>
          <w:iCs/>
        </w:rPr>
        <w:t>Ces mesures engendrent mécaniquement une réduction</w:t>
      </w:r>
      <w:r w:rsidR="007C54E2" w:rsidRPr="006B3002">
        <w:rPr>
          <w:rFonts w:asciiTheme="minorHAnsi" w:hAnsiTheme="minorHAnsi" w:cstheme="minorHAnsi"/>
          <w:b/>
          <w:bCs/>
          <w:iCs/>
        </w:rPr>
        <w:t xml:space="preserve"> de mise sur le marché des produits en plastique à usage unique concernés</w:t>
      </w:r>
      <w:r w:rsidR="007C54E2" w:rsidRPr="006B3002">
        <w:rPr>
          <w:rFonts w:asciiTheme="minorHAnsi" w:hAnsiTheme="minorHAnsi" w:cstheme="minorHAnsi"/>
          <w:iCs/>
        </w:rPr>
        <w:t xml:space="preserve"> et peuvent être considérées comme </w:t>
      </w:r>
      <w:r w:rsidR="007C54E2" w:rsidRPr="006B3002">
        <w:rPr>
          <w:rFonts w:asciiTheme="minorHAnsi" w:hAnsiTheme="minorHAnsi" w:cstheme="minorHAnsi"/>
          <w:b/>
          <w:bCs/>
          <w:iCs/>
        </w:rPr>
        <w:t xml:space="preserve">une transposition </w:t>
      </w:r>
      <w:r w:rsidR="00876877" w:rsidRPr="006B3002">
        <w:rPr>
          <w:rFonts w:asciiTheme="minorHAnsi" w:hAnsiTheme="minorHAnsi" w:cstheme="minorHAnsi"/>
          <w:b/>
          <w:bCs/>
          <w:iCs/>
        </w:rPr>
        <w:t>en droit national</w:t>
      </w:r>
      <w:r w:rsidR="00876877" w:rsidRPr="006B3002">
        <w:rPr>
          <w:rFonts w:asciiTheme="minorHAnsi" w:hAnsiTheme="minorHAnsi" w:cstheme="minorHAnsi"/>
          <w:iCs/>
        </w:rPr>
        <w:t xml:space="preserve"> </w:t>
      </w:r>
      <w:r w:rsidR="007C54E2" w:rsidRPr="006B3002">
        <w:rPr>
          <w:rFonts w:asciiTheme="minorHAnsi" w:hAnsiTheme="minorHAnsi" w:cstheme="minorHAnsi"/>
          <w:iCs/>
        </w:rPr>
        <w:t>de l’article 4 de la Directive européenne 2019/904 (SUP).</w:t>
      </w:r>
    </w:p>
    <w:p w14:paraId="4F2E4137" w14:textId="6008444D" w:rsidR="008C1A09" w:rsidRDefault="00247364" w:rsidP="006B30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3002">
        <w:rPr>
          <w:rFonts w:asciiTheme="minorHAnsi" w:hAnsiTheme="minorHAnsi" w:cstheme="minorHAnsi"/>
          <w:iCs/>
          <w:sz w:val="22"/>
          <w:szCs w:val="22"/>
        </w:rPr>
        <w:t>L</w:t>
      </w:r>
      <w:r w:rsidR="008C1A09" w:rsidRPr="006B3002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4A775E" w:rsidRPr="006B3002">
        <w:rPr>
          <w:rFonts w:asciiTheme="minorHAnsi" w:hAnsiTheme="minorHAnsi" w:cstheme="minorHAnsi"/>
          <w:iCs/>
          <w:sz w:val="22"/>
          <w:szCs w:val="22"/>
        </w:rPr>
        <w:t>d</w:t>
      </w:r>
      <w:r w:rsidR="008C1A09" w:rsidRPr="006B3002">
        <w:rPr>
          <w:rFonts w:asciiTheme="minorHAnsi" w:hAnsiTheme="minorHAnsi" w:cstheme="minorHAnsi"/>
          <w:iCs/>
          <w:sz w:val="22"/>
          <w:szCs w:val="22"/>
        </w:rPr>
        <w:t xml:space="preserve">irective </w:t>
      </w:r>
      <w:r w:rsidR="005B7693" w:rsidRPr="006B3002">
        <w:rPr>
          <w:rFonts w:asciiTheme="minorHAnsi" w:hAnsiTheme="minorHAnsi" w:cstheme="minorHAnsi"/>
          <w:iCs/>
          <w:sz w:val="22"/>
          <w:szCs w:val="22"/>
        </w:rPr>
        <w:t xml:space="preserve">prévoit une réduction de la mise en marché d’ici à 2026 par rapport à 2022. </w:t>
      </w:r>
      <w:r w:rsidR="00580B2A" w:rsidRPr="006B3002">
        <w:rPr>
          <w:rFonts w:asciiTheme="minorHAnsi" w:hAnsiTheme="minorHAnsi" w:cstheme="minorHAnsi"/>
          <w:iCs/>
          <w:sz w:val="22"/>
          <w:szCs w:val="22"/>
        </w:rPr>
        <w:t>Ce point doit être arbitr</w:t>
      </w:r>
      <w:r w:rsidR="004A775E" w:rsidRPr="006B3002">
        <w:rPr>
          <w:rFonts w:asciiTheme="minorHAnsi" w:hAnsiTheme="minorHAnsi" w:cstheme="minorHAnsi"/>
          <w:iCs/>
          <w:sz w:val="22"/>
          <w:szCs w:val="22"/>
        </w:rPr>
        <w:t>é</w:t>
      </w:r>
      <w:r w:rsidR="00580B2A" w:rsidRPr="006B300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A67D4" w:rsidRPr="006B3002">
        <w:rPr>
          <w:rFonts w:asciiTheme="minorHAnsi" w:hAnsiTheme="minorHAnsi" w:cstheme="minorHAnsi"/>
          <w:iCs/>
          <w:sz w:val="22"/>
          <w:szCs w:val="22"/>
        </w:rPr>
        <w:t xml:space="preserve">à travers </w:t>
      </w:r>
      <w:r w:rsidR="005F58A3">
        <w:rPr>
          <w:rFonts w:asciiTheme="minorHAnsi" w:hAnsiTheme="minorHAnsi" w:cstheme="minorHAnsi"/>
          <w:iCs/>
          <w:sz w:val="22"/>
          <w:szCs w:val="22"/>
        </w:rPr>
        <w:t xml:space="preserve">les </w:t>
      </w:r>
      <w:r w:rsidR="005F58A3" w:rsidRPr="006B300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A67D4" w:rsidRPr="006B3002">
        <w:rPr>
          <w:rFonts w:asciiTheme="minorHAnsi" w:hAnsiTheme="minorHAnsi" w:cstheme="minorHAnsi"/>
          <w:iCs/>
          <w:sz w:val="22"/>
          <w:szCs w:val="22"/>
        </w:rPr>
        <w:t>guideline</w:t>
      </w:r>
      <w:r w:rsidR="005F58A3">
        <w:rPr>
          <w:rFonts w:asciiTheme="minorHAnsi" w:hAnsiTheme="minorHAnsi" w:cstheme="minorHAnsi"/>
          <w:iCs/>
          <w:sz w:val="22"/>
          <w:szCs w:val="22"/>
        </w:rPr>
        <w:t>s</w:t>
      </w:r>
      <w:r w:rsidR="009A67D4" w:rsidRPr="006B3002">
        <w:rPr>
          <w:rFonts w:asciiTheme="minorHAnsi" w:hAnsiTheme="minorHAnsi" w:cstheme="minorHAnsi"/>
          <w:iCs/>
          <w:sz w:val="22"/>
          <w:szCs w:val="22"/>
        </w:rPr>
        <w:t xml:space="preserve"> qui ser</w:t>
      </w:r>
      <w:r w:rsidR="005F58A3">
        <w:rPr>
          <w:rFonts w:asciiTheme="minorHAnsi" w:hAnsiTheme="minorHAnsi" w:cstheme="minorHAnsi"/>
          <w:iCs/>
          <w:sz w:val="22"/>
          <w:szCs w:val="22"/>
        </w:rPr>
        <w:t>ont</w:t>
      </w:r>
      <w:r w:rsidR="009A67D4" w:rsidRPr="006B3002">
        <w:rPr>
          <w:rFonts w:asciiTheme="minorHAnsi" w:hAnsiTheme="minorHAnsi" w:cstheme="minorHAnsi"/>
          <w:iCs/>
          <w:sz w:val="22"/>
          <w:szCs w:val="22"/>
        </w:rPr>
        <w:t xml:space="preserve"> publié</w:t>
      </w:r>
      <w:r w:rsidR="005F58A3">
        <w:rPr>
          <w:rFonts w:asciiTheme="minorHAnsi" w:hAnsiTheme="minorHAnsi" w:cstheme="minorHAnsi"/>
          <w:iCs/>
          <w:sz w:val="22"/>
          <w:szCs w:val="22"/>
        </w:rPr>
        <w:t>es</w:t>
      </w:r>
      <w:r w:rsidR="009A67D4" w:rsidRPr="006B3002">
        <w:rPr>
          <w:rFonts w:asciiTheme="minorHAnsi" w:hAnsiTheme="minorHAnsi" w:cstheme="minorHAnsi"/>
          <w:iCs/>
          <w:sz w:val="22"/>
          <w:szCs w:val="22"/>
        </w:rPr>
        <w:t xml:space="preserve"> au plus tard le 3 juillet 2020.</w:t>
      </w:r>
    </w:p>
    <w:p w14:paraId="4FE3E74B" w14:textId="77777777" w:rsidR="0018740B" w:rsidRPr="006B3002" w:rsidRDefault="0018740B" w:rsidP="006B30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3123DA9" w14:textId="7C476C00" w:rsidR="00222623" w:rsidRPr="006B3002" w:rsidRDefault="0077596D" w:rsidP="00222623">
      <w:pPr>
        <w:pStyle w:val="NormalWeb"/>
        <w:numPr>
          <w:ilvl w:val="0"/>
          <w:numId w:val="42"/>
        </w:numPr>
        <w:rPr>
          <w:rFonts w:asciiTheme="minorHAnsi" w:hAnsiTheme="minorHAnsi" w:cstheme="minorHAnsi"/>
          <w:iCs/>
          <w:sz w:val="22"/>
          <w:szCs w:val="22"/>
        </w:rPr>
      </w:pPr>
      <w:r w:rsidRPr="006B3002">
        <w:rPr>
          <w:rFonts w:asciiTheme="minorHAnsi" w:hAnsiTheme="minorHAnsi" w:cstheme="minorHAnsi"/>
          <w:iCs/>
          <w:sz w:val="22"/>
          <w:szCs w:val="22"/>
        </w:rPr>
        <w:t xml:space="preserve">Gobelets pour boissons, y compris leurs moyens de fermeture et couvercles </w:t>
      </w:r>
    </w:p>
    <w:p w14:paraId="10D94175" w14:textId="58BB71A0" w:rsidR="00C12038" w:rsidRPr="006B3002" w:rsidRDefault="00C12038" w:rsidP="006B30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002">
        <w:rPr>
          <w:rFonts w:asciiTheme="minorHAnsi" w:hAnsiTheme="minorHAnsi" w:cstheme="minorHAnsi"/>
          <w:sz w:val="22"/>
          <w:szCs w:val="22"/>
        </w:rPr>
        <w:t>La loi n°2015-992 du 17 août 2015 relative à la transition énergétique pour la croissance verte (LTECV) a interdit les gobelets</w:t>
      </w:r>
      <w:r w:rsidR="00247364" w:rsidRPr="006B3002">
        <w:rPr>
          <w:rFonts w:asciiTheme="minorHAnsi" w:hAnsiTheme="minorHAnsi" w:cstheme="minorHAnsi"/>
          <w:sz w:val="22"/>
          <w:szCs w:val="22"/>
        </w:rPr>
        <w:t>.</w:t>
      </w:r>
      <w:r w:rsidR="0078203F" w:rsidRPr="006B3002">
        <w:rPr>
          <w:rFonts w:asciiTheme="minorHAnsi" w:hAnsiTheme="minorHAnsi" w:cstheme="minorHAnsi"/>
          <w:sz w:val="22"/>
          <w:szCs w:val="22"/>
        </w:rPr>
        <w:t xml:space="preserve"> Ces dispositions n’ont pas été modifiées</w:t>
      </w:r>
      <w:r w:rsidR="000D6615" w:rsidRPr="006B3002">
        <w:rPr>
          <w:rFonts w:asciiTheme="minorHAnsi" w:hAnsiTheme="minorHAnsi" w:cstheme="minorHAnsi"/>
          <w:sz w:val="22"/>
          <w:szCs w:val="22"/>
        </w:rPr>
        <w:t xml:space="preserve"> ni</w:t>
      </w:r>
      <w:r w:rsidR="0078203F" w:rsidRPr="006B3002">
        <w:rPr>
          <w:rFonts w:asciiTheme="minorHAnsi" w:hAnsiTheme="minorHAnsi" w:cstheme="minorHAnsi"/>
          <w:sz w:val="22"/>
          <w:szCs w:val="22"/>
        </w:rPr>
        <w:t xml:space="preserve"> par </w:t>
      </w:r>
      <w:r w:rsidR="000D6615" w:rsidRPr="006B3002">
        <w:rPr>
          <w:rFonts w:asciiTheme="minorHAnsi" w:hAnsiTheme="minorHAnsi" w:cstheme="minorHAnsi"/>
          <w:sz w:val="22"/>
          <w:szCs w:val="22"/>
        </w:rPr>
        <w:t xml:space="preserve">la loi </w:t>
      </w:r>
      <w:proofErr w:type="spellStart"/>
      <w:r w:rsidR="000D6615" w:rsidRPr="006B3002">
        <w:rPr>
          <w:rFonts w:asciiTheme="minorHAnsi" w:hAnsiTheme="minorHAnsi" w:cstheme="minorHAnsi"/>
          <w:sz w:val="22"/>
          <w:szCs w:val="22"/>
        </w:rPr>
        <w:t>EGAlim</w:t>
      </w:r>
      <w:proofErr w:type="spellEnd"/>
      <w:r w:rsidR="000D6615" w:rsidRPr="006B3002">
        <w:rPr>
          <w:rFonts w:asciiTheme="minorHAnsi" w:hAnsiTheme="minorHAnsi" w:cstheme="minorHAnsi"/>
          <w:sz w:val="22"/>
          <w:szCs w:val="22"/>
        </w:rPr>
        <w:t xml:space="preserve"> ni par la loi relative à la lutte contre le gaspillage et à l’économie circulaire </w:t>
      </w:r>
      <w:r w:rsidR="004A775E" w:rsidRPr="006B3002">
        <w:rPr>
          <w:rFonts w:asciiTheme="minorHAnsi" w:hAnsiTheme="minorHAnsi" w:cstheme="minorHAnsi"/>
          <w:sz w:val="22"/>
          <w:szCs w:val="22"/>
        </w:rPr>
        <w:t>et</w:t>
      </w:r>
      <w:r w:rsidR="000D6615" w:rsidRPr="006B3002">
        <w:rPr>
          <w:rFonts w:asciiTheme="minorHAnsi" w:hAnsiTheme="minorHAnsi" w:cstheme="minorHAnsi"/>
          <w:sz w:val="22"/>
          <w:szCs w:val="22"/>
        </w:rPr>
        <w:t xml:space="preserve"> sont </w:t>
      </w:r>
      <w:r w:rsidR="004A775E" w:rsidRPr="006B3002">
        <w:rPr>
          <w:rFonts w:asciiTheme="minorHAnsi" w:hAnsiTheme="minorHAnsi" w:cstheme="minorHAnsi"/>
          <w:sz w:val="22"/>
          <w:szCs w:val="22"/>
        </w:rPr>
        <w:t xml:space="preserve">donc </w:t>
      </w:r>
      <w:r w:rsidR="000D6615" w:rsidRPr="006B3002">
        <w:rPr>
          <w:rFonts w:asciiTheme="minorHAnsi" w:hAnsiTheme="minorHAnsi" w:cstheme="minorHAnsi"/>
          <w:sz w:val="22"/>
          <w:szCs w:val="22"/>
        </w:rPr>
        <w:t>maintenues</w:t>
      </w:r>
      <w:r w:rsidR="004A775E" w:rsidRPr="006B30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A2F60B" w14:textId="2A02E04B" w:rsidR="00247364" w:rsidRPr="006B3002" w:rsidRDefault="00247364" w:rsidP="006B30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002"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8D7515" w:rsidRPr="006B3002">
        <w:rPr>
          <w:rFonts w:asciiTheme="minorHAnsi" w:hAnsiTheme="minorHAnsi" w:cstheme="minorHAnsi"/>
          <w:sz w:val="22"/>
          <w:szCs w:val="22"/>
        </w:rPr>
        <w:t>e décret n° 2019-1451 du 24 décembre 2019 </w:t>
      </w:r>
      <w:r w:rsidRPr="006B3002">
        <w:rPr>
          <w:rFonts w:asciiTheme="minorHAnsi" w:hAnsiTheme="minorHAnsi" w:cstheme="minorHAnsi"/>
          <w:sz w:val="22"/>
          <w:szCs w:val="22"/>
        </w:rPr>
        <w:t xml:space="preserve">distingue : </w:t>
      </w:r>
    </w:p>
    <w:p w14:paraId="34C1A2AA" w14:textId="383121A1" w:rsidR="00247364" w:rsidRPr="006B3002" w:rsidRDefault="00247364" w:rsidP="006B3002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002">
        <w:rPr>
          <w:rFonts w:asciiTheme="minorHAnsi" w:hAnsiTheme="minorHAnsi" w:cstheme="minorHAnsi"/>
          <w:sz w:val="22"/>
          <w:szCs w:val="22"/>
        </w:rPr>
        <w:t>L</w:t>
      </w:r>
      <w:r w:rsidR="008D7515" w:rsidRPr="006B3002">
        <w:rPr>
          <w:rFonts w:asciiTheme="minorHAnsi" w:hAnsiTheme="minorHAnsi" w:cstheme="minorHAnsi"/>
          <w:sz w:val="22"/>
          <w:szCs w:val="22"/>
        </w:rPr>
        <w:t xml:space="preserve">'interdiction </w:t>
      </w:r>
      <w:r w:rsidRPr="006B3002">
        <w:rPr>
          <w:rFonts w:asciiTheme="minorHAnsi" w:hAnsiTheme="minorHAnsi" w:cstheme="minorHAnsi"/>
          <w:sz w:val="22"/>
          <w:szCs w:val="22"/>
        </w:rPr>
        <w:t>des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gobelets 100% plastique non emballages depuis le 1</w:t>
      </w:r>
      <w:r w:rsidR="00F30B5D" w:rsidRPr="006B3002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6B3002">
        <w:rPr>
          <w:rFonts w:asciiTheme="minorHAnsi" w:hAnsiTheme="minorHAnsi" w:cstheme="minorHAnsi"/>
          <w:sz w:val="22"/>
          <w:szCs w:val="22"/>
        </w:rPr>
        <w:t xml:space="preserve"> 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janvier 2020</w:t>
      </w:r>
      <w:r w:rsidR="005F58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F4EA0F" w14:textId="7D7BEEF9" w:rsidR="008D7515" w:rsidRPr="006B3002" w:rsidRDefault="00247364" w:rsidP="006B3002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002">
        <w:rPr>
          <w:rFonts w:asciiTheme="minorHAnsi" w:hAnsiTheme="minorHAnsi" w:cstheme="minorHAnsi"/>
          <w:sz w:val="22"/>
          <w:szCs w:val="22"/>
        </w:rPr>
        <w:t>L’</w:t>
      </w:r>
      <w:r w:rsidR="00F30B5D" w:rsidRPr="006B3002">
        <w:rPr>
          <w:rFonts w:asciiTheme="minorHAnsi" w:hAnsiTheme="minorHAnsi" w:cstheme="minorHAnsi"/>
          <w:sz w:val="22"/>
          <w:szCs w:val="22"/>
        </w:rPr>
        <w:t>interdiction</w:t>
      </w:r>
      <w:r w:rsidRPr="006B3002">
        <w:rPr>
          <w:rFonts w:asciiTheme="minorHAnsi" w:hAnsiTheme="minorHAnsi" w:cstheme="minorHAnsi"/>
          <w:sz w:val="22"/>
          <w:szCs w:val="22"/>
        </w:rPr>
        <w:t>,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à partir du 3 juillet 2021</w:t>
      </w:r>
      <w:r w:rsidRPr="006B3002">
        <w:rPr>
          <w:rFonts w:asciiTheme="minorHAnsi" w:hAnsiTheme="minorHAnsi" w:cstheme="minorHAnsi"/>
          <w:sz w:val="22"/>
          <w:szCs w:val="22"/>
        </w:rPr>
        <w:t>,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</w:t>
      </w:r>
      <w:r w:rsidRPr="006B3002">
        <w:rPr>
          <w:rFonts w:asciiTheme="minorHAnsi" w:hAnsiTheme="minorHAnsi" w:cstheme="minorHAnsi"/>
          <w:sz w:val="22"/>
          <w:szCs w:val="22"/>
        </w:rPr>
        <w:t xml:space="preserve">des </w:t>
      </w:r>
      <w:r w:rsidR="00F30B5D" w:rsidRPr="006B3002">
        <w:rPr>
          <w:rFonts w:asciiTheme="minorHAnsi" w:hAnsiTheme="minorHAnsi" w:cstheme="minorHAnsi"/>
          <w:sz w:val="22"/>
          <w:szCs w:val="22"/>
        </w:rPr>
        <w:t>gobelets composés entièrement ou partiellement de plastique dont la teneur</w:t>
      </w:r>
      <w:r w:rsidR="00C76DA0" w:rsidRPr="006B3002">
        <w:rPr>
          <w:rFonts w:asciiTheme="minorHAnsi" w:hAnsiTheme="minorHAnsi" w:cstheme="minorHAnsi"/>
          <w:sz w:val="22"/>
          <w:szCs w:val="22"/>
        </w:rPr>
        <w:t xml:space="preserve"> en plastique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est supérieure à celle autorisée par un arrêté (avec réduction progressive de la teneur</w:t>
      </w:r>
      <w:r w:rsidR="00C76DA0" w:rsidRPr="006B3002">
        <w:rPr>
          <w:rFonts w:asciiTheme="minorHAnsi" w:hAnsiTheme="minorHAnsi" w:cstheme="minorHAnsi"/>
          <w:sz w:val="22"/>
          <w:szCs w:val="22"/>
        </w:rPr>
        <w:t xml:space="preserve"> en plastique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dans le temps), </w:t>
      </w:r>
      <w:r w:rsidR="00F30B5D" w:rsidRPr="006B3002">
        <w:rPr>
          <w:rFonts w:asciiTheme="minorHAnsi" w:hAnsiTheme="minorHAnsi" w:cstheme="minorHAnsi"/>
          <w:b/>
          <w:sz w:val="22"/>
          <w:szCs w:val="22"/>
        </w:rPr>
        <w:t>y compris</w:t>
      </w:r>
      <w:r w:rsidR="00F30B5D" w:rsidRPr="006B3002">
        <w:rPr>
          <w:rFonts w:asciiTheme="minorHAnsi" w:hAnsiTheme="minorHAnsi" w:cstheme="minorHAnsi"/>
          <w:sz w:val="22"/>
          <w:szCs w:val="22"/>
        </w:rPr>
        <w:t xml:space="preserve"> si </w:t>
      </w:r>
      <w:r w:rsidR="00C76DA0" w:rsidRPr="006B3002">
        <w:rPr>
          <w:rFonts w:asciiTheme="minorHAnsi" w:hAnsiTheme="minorHAnsi" w:cstheme="minorHAnsi"/>
          <w:sz w:val="22"/>
          <w:szCs w:val="22"/>
        </w:rPr>
        <w:t xml:space="preserve">ces gobelets sont considérés comme des </w:t>
      </w:r>
      <w:r w:rsidR="00F30B5D" w:rsidRPr="006B3002">
        <w:rPr>
          <w:rFonts w:asciiTheme="minorHAnsi" w:hAnsiTheme="minorHAnsi" w:cstheme="minorHAnsi"/>
          <w:sz w:val="22"/>
          <w:szCs w:val="22"/>
        </w:rPr>
        <w:t>emballage</w:t>
      </w:r>
      <w:r w:rsidR="00C76DA0" w:rsidRPr="006B3002">
        <w:rPr>
          <w:rFonts w:asciiTheme="minorHAnsi" w:hAnsiTheme="minorHAnsi" w:cstheme="minorHAnsi"/>
          <w:sz w:val="22"/>
          <w:szCs w:val="22"/>
        </w:rPr>
        <w:t>s.</w:t>
      </w:r>
    </w:p>
    <w:p w14:paraId="204E9AE5" w14:textId="60436117" w:rsidR="00C76DA0" w:rsidRPr="006B3002" w:rsidRDefault="00247364" w:rsidP="000D661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B3002">
        <w:rPr>
          <w:rFonts w:asciiTheme="minorHAnsi" w:hAnsiTheme="minorHAnsi" w:cstheme="minorHAnsi"/>
          <w:sz w:val="22"/>
          <w:szCs w:val="22"/>
        </w:rPr>
        <w:t>Or la d</w:t>
      </w:r>
      <w:r w:rsidR="00312734" w:rsidRPr="006B3002">
        <w:rPr>
          <w:rFonts w:asciiTheme="minorHAnsi" w:hAnsiTheme="minorHAnsi" w:cstheme="minorHAnsi"/>
          <w:sz w:val="22"/>
          <w:szCs w:val="22"/>
        </w:rPr>
        <w:t xml:space="preserve">irective européenne 2019/904 (SUP) </w:t>
      </w:r>
      <w:r w:rsidR="00312734" w:rsidRPr="006B3002">
        <w:rPr>
          <w:rFonts w:asciiTheme="minorHAnsi" w:hAnsiTheme="minorHAnsi" w:cstheme="minorHAnsi"/>
          <w:b/>
          <w:bCs/>
          <w:sz w:val="22"/>
          <w:szCs w:val="22"/>
        </w:rPr>
        <w:t>prévoit des dispositifs de réduction pour les gobelets et non d’interdiction.</w:t>
      </w:r>
      <w:r w:rsidRPr="006B3002">
        <w:rPr>
          <w:rFonts w:asciiTheme="minorHAnsi" w:hAnsiTheme="minorHAnsi" w:cstheme="minorHAnsi"/>
          <w:sz w:val="22"/>
          <w:szCs w:val="22"/>
        </w:rPr>
        <w:t xml:space="preserve"> L</w:t>
      </w:r>
      <w:r w:rsidR="00101BBF" w:rsidRPr="006B3002">
        <w:rPr>
          <w:rFonts w:asciiTheme="minorHAnsi" w:hAnsiTheme="minorHAnsi" w:cstheme="minorHAnsi"/>
          <w:sz w:val="22"/>
          <w:szCs w:val="22"/>
        </w:rPr>
        <w:t xml:space="preserve">e cadre juridique européen s’oppose au </w:t>
      </w:r>
      <w:r w:rsidRPr="006B3002">
        <w:rPr>
          <w:rFonts w:asciiTheme="minorHAnsi" w:hAnsiTheme="minorHAnsi" w:cstheme="minorHAnsi"/>
          <w:sz w:val="22"/>
          <w:szCs w:val="22"/>
        </w:rPr>
        <w:t>droit français</w:t>
      </w:r>
      <w:r w:rsidR="0069785C" w:rsidRPr="006B30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F8D938" w14:textId="409DA1D8" w:rsidR="00C76DA0" w:rsidRDefault="009A67D4" w:rsidP="0038460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8460D">
        <w:rPr>
          <w:rFonts w:asciiTheme="minorHAnsi" w:hAnsiTheme="minorHAnsi" w:cstheme="minorHAnsi"/>
          <w:sz w:val="22"/>
          <w:szCs w:val="22"/>
        </w:rPr>
        <w:t xml:space="preserve">Sur la notion de </w:t>
      </w:r>
      <w:r w:rsidR="000E0638">
        <w:rPr>
          <w:rFonts w:asciiTheme="minorHAnsi" w:hAnsiTheme="minorHAnsi" w:cstheme="minorHAnsi"/>
          <w:sz w:val="22"/>
          <w:szCs w:val="22"/>
        </w:rPr>
        <w:t xml:space="preserve">la définition de la </w:t>
      </w:r>
      <w:r w:rsidRPr="0038460D">
        <w:rPr>
          <w:rFonts w:asciiTheme="minorHAnsi" w:hAnsiTheme="minorHAnsi" w:cstheme="minorHAnsi"/>
          <w:sz w:val="22"/>
          <w:szCs w:val="22"/>
        </w:rPr>
        <w:t xml:space="preserve">mise à disposition du gobelet versus emballage se </w:t>
      </w:r>
      <w:r w:rsidR="001D25AC">
        <w:rPr>
          <w:rFonts w:asciiTheme="minorHAnsi" w:hAnsiTheme="minorHAnsi" w:cstheme="minorHAnsi"/>
          <w:sz w:val="22"/>
          <w:szCs w:val="22"/>
        </w:rPr>
        <w:t xml:space="preserve">référer </w:t>
      </w:r>
      <w:r w:rsidR="0038460D" w:rsidRPr="0038460D">
        <w:rPr>
          <w:rFonts w:asciiTheme="minorHAnsi" w:hAnsiTheme="minorHAnsi" w:cstheme="minorHAnsi"/>
          <w:sz w:val="22"/>
          <w:szCs w:val="22"/>
        </w:rPr>
        <w:t>au</w:t>
      </w:r>
      <w:r w:rsidR="0038460D" w:rsidRPr="0038460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8460D" w:rsidRPr="0038460D">
        <w:rPr>
          <w:rFonts w:asciiTheme="minorHAnsi" w:hAnsiTheme="minorHAnsi"/>
          <w:b/>
          <w:bCs/>
          <w:sz w:val="22"/>
          <w:szCs w:val="22"/>
        </w:rPr>
        <w:t xml:space="preserve">Questions / Réponses </w:t>
      </w:r>
      <w:r w:rsidR="0038460D" w:rsidRPr="0038460D">
        <w:rPr>
          <w:rFonts w:asciiTheme="minorHAnsi" w:hAnsiTheme="minorHAnsi"/>
          <w:sz w:val="22"/>
          <w:szCs w:val="22"/>
        </w:rPr>
        <w:t xml:space="preserve">publié par le Ministère de la Transition écologique et solidaire en juin 2017 sur </w:t>
      </w:r>
      <w:r w:rsidR="0038460D" w:rsidRPr="0038460D">
        <w:rPr>
          <w:rFonts w:asciiTheme="minorHAnsi" w:hAnsiTheme="minorHAnsi"/>
          <w:b/>
          <w:bCs/>
          <w:sz w:val="22"/>
          <w:szCs w:val="22"/>
        </w:rPr>
        <w:t>la limitation des gobelets, verres et assiettes jetables de cuisine pour la table en matière plastique.</w:t>
      </w:r>
    </w:p>
    <w:p w14:paraId="53685B85" w14:textId="77777777" w:rsidR="0038460D" w:rsidRPr="0038460D" w:rsidRDefault="0038460D" w:rsidP="0038460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E36262" w14:textId="32B6B371" w:rsidR="00B143C8" w:rsidRPr="006B3002" w:rsidRDefault="00B143C8" w:rsidP="00B143C8">
      <w:pPr>
        <w:pStyle w:val="Sansinterligne"/>
        <w:numPr>
          <w:ilvl w:val="0"/>
          <w:numId w:val="25"/>
        </w:numPr>
        <w:jc w:val="both"/>
        <w:rPr>
          <w:rFonts w:cstheme="minorHAnsi"/>
          <w:i/>
        </w:rPr>
      </w:pPr>
      <w:r>
        <w:rPr>
          <w:rFonts w:cstheme="minorHAnsi"/>
          <w:b/>
          <w:color w:val="002060"/>
        </w:rPr>
        <w:t>Les produits importés sont-ils touchés par les interdictions ?</w:t>
      </w:r>
    </w:p>
    <w:p w14:paraId="0312215E" w14:textId="4BDAC672" w:rsidR="009A24E3" w:rsidRDefault="009A24E3" w:rsidP="009A24E3">
      <w:pPr>
        <w:pStyle w:val="Sansinterligne"/>
        <w:jc w:val="both"/>
        <w:rPr>
          <w:rFonts w:cstheme="minorHAnsi"/>
        </w:rPr>
      </w:pPr>
    </w:p>
    <w:p w14:paraId="22FBE56C" w14:textId="2816ED96" w:rsidR="00B143C8" w:rsidRPr="006B3002" w:rsidRDefault="00B143C8" w:rsidP="009A24E3">
      <w:pPr>
        <w:pStyle w:val="Sansinterligne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Les interdictions concernent les produits mis à disposition sur le territoire national. En respect du droit français, tout producteur ou importateur doit se conformer à ces interdictions de mise à disposition.</w:t>
      </w:r>
    </w:p>
    <w:sectPr w:rsidR="00B143C8" w:rsidRPr="006B3002" w:rsidSect="00497A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18EA" w14:textId="77777777" w:rsidR="00AA2E78" w:rsidRDefault="00AA2E78" w:rsidP="00C07334">
      <w:r>
        <w:separator/>
      </w:r>
    </w:p>
    <w:p w14:paraId="15EB90CB" w14:textId="77777777" w:rsidR="00AA2E78" w:rsidRDefault="00AA2E78"/>
  </w:endnote>
  <w:endnote w:type="continuationSeparator" w:id="0">
    <w:p w14:paraId="6FAEEE9A" w14:textId="77777777" w:rsidR="00AA2E78" w:rsidRDefault="00AA2E78" w:rsidP="00C07334">
      <w:r>
        <w:continuationSeparator/>
      </w:r>
    </w:p>
    <w:p w14:paraId="250470F9" w14:textId="77777777" w:rsidR="00AA2E78" w:rsidRDefault="00AA2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32B6" w14:textId="77777777" w:rsidR="00873AB6" w:rsidRDefault="00873AB6">
    <w:pPr>
      <w:pStyle w:val="Pieddepage"/>
    </w:pPr>
  </w:p>
  <w:p w14:paraId="7538F7A8" w14:textId="77777777" w:rsidR="00DB3409" w:rsidRDefault="00DB34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773833"/>
      <w:docPartObj>
        <w:docPartGallery w:val="Page Numbers (Bottom of Page)"/>
        <w:docPartUnique/>
      </w:docPartObj>
    </w:sdtPr>
    <w:sdtEndPr/>
    <w:sdtContent>
      <w:p w14:paraId="0CE927C5" w14:textId="1D1FFB60" w:rsidR="00A11FA3" w:rsidRDefault="00A11FA3">
        <w:pPr>
          <w:pStyle w:val="Pieddepage"/>
          <w:jc w:val="right"/>
        </w:pPr>
        <w:r w:rsidRPr="00A11FA3">
          <w:rPr>
            <w:sz w:val="20"/>
            <w:szCs w:val="20"/>
          </w:rPr>
          <w:fldChar w:fldCharType="begin"/>
        </w:r>
        <w:r w:rsidRPr="00A11FA3">
          <w:rPr>
            <w:sz w:val="20"/>
            <w:szCs w:val="20"/>
          </w:rPr>
          <w:instrText>PAGE   \* MERGEFORMAT</w:instrText>
        </w:r>
        <w:r w:rsidRPr="00A11FA3">
          <w:rPr>
            <w:sz w:val="20"/>
            <w:szCs w:val="20"/>
          </w:rPr>
          <w:fldChar w:fldCharType="separate"/>
        </w:r>
        <w:r w:rsidR="0018740B">
          <w:rPr>
            <w:noProof/>
            <w:sz w:val="20"/>
            <w:szCs w:val="20"/>
          </w:rPr>
          <w:t>9</w:t>
        </w:r>
        <w:r w:rsidRPr="00A11FA3">
          <w:rPr>
            <w:sz w:val="20"/>
            <w:szCs w:val="20"/>
          </w:rPr>
          <w:fldChar w:fldCharType="end"/>
        </w:r>
      </w:p>
    </w:sdtContent>
  </w:sdt>
  <w:p w14:paraId="3152B87D" w14:textId="77777777" w:rsidR="00A11FA3" w:rsidRDefault="00A11FA3">
    <w:pPr>
      <w:pStyle w:val="Pieddepage"/>
    </w:pPr>
  </w:p>
  <w:p w14:paraId="69741170" w14:textId="77777777" w:rsidR="00DB3409" w:rsidRDefault="00DB3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92D7" w14:textId="77777777" w:rsidR="00AA2E78" w:rsidRDefault="00AA2E78" w:rsidP="00C07334">
      <w:r>
        <w:separator/>
      </w:r>
    </w:p>
    <w:p w14:paraId="7960041D" w14:textId="77777777" w:rsidR="00AA2E78" w:rsidRDefault="00AA2E78"/>
  </w:footnote>
  <w:footnote w:type="continuationSeparator" w:id="0">
    <w:p w14:paraId="2F02AA31" w14:textId="77777777" w:rsidR="00AA2E78" w:rsidRDefault="00AA2E78" w:rsidP="00C07334">
      <w:r>
        <w:continuationSeparator/>
      </w:r>
    </w:p>
    <w:p w14:paraId="1447E302" w14:textId="77777777" w:rsidR="00AA2E78" w:rsidRDefault="00AA2E78"/>
  </w:footnote>
  <w:footnote w:id="1">
    <w:p w14:paraId="19F49B68" w14:textId="484733FE" w:rsidR="00367A2D" w:rsidRPr="00387B95" w:rsidRDefault="00367A2D">
      <w:pPr>
        <w:pStyle w:val="Notedebasdepage"/>
      </w:pPr>
      <w:r w:rsidRPr="00387B95">
        <w:rPr>
          <w:rStyle w:val="Appelnotedebasdep"/>
        </w:rPr>
        <w:footnoteRef/>
      </w:r>
      <w:r w:rsidRPr="00387B95">
        <w:t xml:space="preserve"> </w:t>
      </w:r>
      <w:r w:rsidR="00FC4707">
        <w:rPr>
          <w:rFonts w:cstheme="minorHAnsi"/>
        </w:rPr>
        <w:t>D</w:t>
      </w:r>
      <w:r w:rsidR="00FC4707" w:rsidRPr="00387B95">
        <w:rPr>
          <w:rFonts w:cstheme="minorHAnsi"/>
        </w:rPr>
        <w:t>irective 2019/904 relative à la réduction de l’incidence de certains produits en plastique sur l’environnement (SUP) du 5 juin 2019</w:t>
      </w:r>
      <w:r w:rsidR="00FC4707">
        <w:rPr>
          <w:rFonts w:cstheme="minorHAnsi"/>
        </w:rPr>
        <w:t xml:space="preserve">, </w:t>
      </w:r>
      <w:r w:rsidRPr="00387B95">
        <w:t>Article 3</w:t>
      </w:r>
    </w:p>
  </w:footnote>
  <w:footnote w:id="2">
    <w:p w14:paraId="61DEE99C" w14:textId="5811FC6B" w:rsidR="000E657C" w:rsidRPr="00A15A30" w:rsidRDefault="000E657C">
      <w:pPr>
        <w:pStyle w:val="Notedebasdepage"/>
      </w:pPr>
      <w:r>
        <w:rPr>
          <w:rStyle w:val="Appelnotedebasdep"/>
        </w:rPr>
        <w:footnoteRef/>
      </w:r>
      <w:r w:rsidRPr="00A15A30">
        <w:t xml:space="preserve"> I</w:t>
      </w:r>
      <w:r w:rsidR="00FC4707" w:rsidRPr="00A15A30">
        <w:t>bid.</w:t>
      </w:r>
    </w:p>
  </w:footnote>
  <w:footnote w:id="3">
    <w:p w14:paraId="01181387" w14:textId="3C9D5280" w:rsidR="00340A98" w:rsidRPr="00E425C9" w:rsidRDefault="00340A98">
      <w:pPr>
        <w:pStyle w:val="Notedebasdepage"/>
      </w:pPr>
      <w:r>
        <w:rPr>
          <w:rStyle w:val="Appelnotedebasdep"/>
        </w:rPr>
        <w:footnoteRef/>
      </w:r>
      <w:r w:rsidRPr="00E425C9">
        <w:t xml:space="preserve"> Ibid</w:t>
      </w:r>
      <w:r w:rsidR="00061548" w:rsidRPr="00E425C9">
        <w:t>.</w:t>
      </w:r>
      <w:r w:rsidRPr="00E425C9">
        <w:t>,</w:t>
      </w:r>
      <w:r w:rsidR="00061548" w:rsidRPr="00E425C9">
        <w:t xml:space="preserve"> Considérant 12</w:t>
      </w:r>
    </w:p>
  </w:footnote>
  <w:footnote w:id="4">
    <w:p w14:paraId="4B156079" w14:textId="4FBBF841" w:rsidR="00E425C9" w:rsidRPr="00A15A30" w:rsidRDefault="00E425C9">
      <w:pPr>
        <w:pStyle w:val="Notedebasdepage"/>
      </w:pPr>
      <w:r>
        <w:rPr>
          <w:rStyle w:val="Appelnotedebasdep"/>
        </w:rPr>
        <w:footnoteRef/>
      </w:r>
      <w:r w:rsidRPr="00A15A30">
        <w:t xml:space="preserve"> </w:t>
      </w:r>
      <w:r w:rsidR="00DE4B33" w:rsidRPr="00A15A30">
        <w:rPr>
          <w:rFonts w:cstheme="minorHAnsi"/>
        </w:rPr>
        <w:t>Ibid.</w:t>
      </w:r>
      <w:r w:rsidRPr="00A15A30">
        <w:rPr>
          <w:rFonts w:cstheme="minorHAnsi"/>
        </w:rPr>
        <w:t>, Article 12</w:t>
      </w:r>
    </w:p>
  </w:footnote>
  <w:footnote w:id="5">
    <w:p w14:paraId="371DE1FB" w14:textId="77777777" w:rsidR="00DB2CB9" w:rsidRPr="000630E1" w:rsidRDefault="00DB2CB9" w:rsidP="004054C8">
      <w:pPr>
        <w:pStyle w:val="Notedebasdepage"/>
      </w:pPr>
      <w:r w:rsidRPr="000630E1">
        <w:rPr>
          <w:rStyle w:val="Appelnotedebasdep"/>
        </w:rPr>
        <w:footnoteRef/>
      </w:r>
      <w:r w:rsidRPr="000630E1">
        <w:t xml:space="preserve"> </w:t>
      </w:r>
      <w:r w:rsidRPr="000630E1">
        <w:rPr>
          <w:rFonts w:ascii="Calibri" w:hAnsi="Calibri" w:cstheme="minorHAnsi"/>
        </w:rPr>
        <w:t>Directive 94/62/CE du Parlement européen et du conseil relative aux emballages et aux déchets d’emballages du 20 décembre 1994 et modifiée le 4 juillet 2018, Article 18</w:t>
      </w:r>
    </w:p>
  </w:footnote>
  <w:footnote w:id="6">
    <w:p w14:paraId="529C967A" w14:textId="7BA21FAD" w:rsidR="00741F04" w:rsidRPr="005313B6" w:rsidRDefault="00741F04" w:rsidP="004054C8">
      <w:pPr>
        <w:pStyle w:val="NormalWeb"/>
        <w:spacing w:before="0" w:beforeAutospacing="0" w:after="0" w:afterAutospacing="0"/>
        <w:rPr>
          <w:lang w:val="en-US"/>
        </w:rPr>
      </w:pPr>
      <w:r>
        <w:rPr>
          <w:rStyle w:val="Appelnotedebasdep"/>
        </w:rPr>
        <w:footnoteRef/>
      </w:r>
      <w:r w:rsidRPr="005313B6">
        <w:rPr>
          <w:lang w:val="en-US"/>
        </w:rPr>
        <w:t xml:space="preserve"> </w:t>
      </w:r>
      <w:r w:rsidR="004054C8" w:rsidRPr="004054C8">
        <w:rPr>
          <w:rFonts w:ascii="Calibri" w:eastAsiaTheme="minorHAnsi" w:hAnsi="Calibri" w:cstheme="minorHAnsi"/>
          <w:sz w:val="20"/>
          <w:szCs w:val="20"/>
          <w:lang w:val="en-US" w:eastAsia="en-US"/>
        </w:rPr>
        <w:t>“</w:t>
      </w:r>
      <w:r w:rsidR="004054C8" w:rsidRPr="004054C8">
        <w:rPr>
          <w:rFonts w:ascii="Calibri" w:eastAsiaTheme="minorHAnsi" w:hAnsi="Calibri" w:cstheme="minorHAnsi"/>
          <w:i/>
          <w:iCs/>
          <w:sz w:val="20"/>
          <w:szCs w:val="20"/>
          <w:lang w:val="en-US" w:eastAsia="en-US"/>
        </w:rPr>
        <w:t xml:space="preserve">for the purpose of preventing products from becoming litter if these comply with the requirements of that article, namely, </w:t>
      </w:r>
      <w:r w:rsidR="005313B6" w:rsidRPr="004054C8">
        <w:rPr>
          <w:rFonts w:ascii="Calibri" w:eastAsiaTheme="minorHAnsi" w:hAnsi="Calibri" w:cstheme="minorHAnsi"/>
          <w:i/>
          <w:iCs/>
          <w:sz w:val="20"/>
          <w:szCs w:val="20"/>
          <w:lang w:val="en-US" w:eastAsia="en-US"/>
        </w:rPr>
        <w:t>that the products subject to market restrictions are substituted with alternatives that are re-usable or do not contain plastic.</w:t>
      </w:r>
      <w:r w:rsidR="004054C8" w:rsidRPr="004054C8">
        <w:rPr>
          <w:rFonts w:ascii="Calibri" w:eastAsiaTheme="minorHAnsi" w:hAnsi="Calibri" w:cstheme="minorHAnsi"/>
          <w:i/>
          <w:iCs/>
          <w:sz w:val="20"/>
          <w:szCs w:val="20"/>
          <w:lang w:val="en-US"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51FB" w14:textId="671675F3" w:rsidR="00873AB6" w:rsidRDefault="001320C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3B7E230" wp14:editId="0A6828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285" cy="101473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106285" cy="1014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6891A" w14:textId="77777777" w:rsidR="001320C3" w:rsidRDefault="001320C3" w:rsidP="001320C3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NE PAS DIFFUSER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3B7E23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59.55pt;height:79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" o:allowincell="f" filled="f" stroked="f">
              <v:stroke joinstyle="round"/>
              <v:path arrowok="t"/>
              <v:textbox>
                <w:txbxContent>
                  <w:p w14:paraId="3376891A" w14:textId="77777777" w:rsidR="001320C3" w:rsidRDefault="001320C3" w:rsidP="001320C3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NE PAS DIFFUSER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A575411" w14:textId="77777777" w:rsidR="00DB3409" w:rsidRDefault="00DB34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1906" w14:textId="4E2856D0" w:rsidR="00334E73" w:rsidRPr="00F13C16" w:rsidRDefault="001320C3" w:rsidP="00334E73">
    <w:pPr>
      <w:pStyle w:val="Sansinterlign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97596D" wp14:editId="58D7A5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285" cy="101473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106285" cy="1014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C987" w14:textId="77777777" w:rsidR="001320C3" w:rsidRDefault="001320C3" w:rsidP="001320C3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NE PAS DIFFUSER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C97596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59.55pt;height:79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" o:allowincell="f" filled="f" stroked="f">
              <v:stroke joinstyle="round"/>
              <v:path arrowok="t"/>
              <v:textbox>
                <w:txbxContent>
                  <w:p w14:paraId="2303C987" w14:textId="77777777" w:rsidR="001320C3" w:rsidRDefault="001320C3" w:rsidP="001320C3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NE PAS DIFFUSER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900B746" w14:textId="69666D14" w:rsidR="00334E73" w:rsidRPr="00B324A1" w:rsidRDefault="00334E73" w:rsidP="00334E73">
    <w:pPr>
      <w:pStyle w:val="Sansinterligne"/>
      <w:jc w:val="right"/>
      <w:rPr>
        <w:i/>
        <w:iCs/>
      </w:rPr>
    </w:pPr>
    <w:r w:rsidRPr="00B324A1">
      <w:rPr>
        <w:i/>
        <w:iCs/>
        <w:color w:val="C00000"/>
      </w:rPr>
      <w:t xml:space="preserve">Version </w:t>
    </w:r>
    <w:r w:rsidR="00B324A1" w:rsidRPr="00B324A1">
      <w:rPr>
        <w:i/>
        <w:iCs/>
        <w:color w:val="C00000"/>
      </w:rPr>
      <w:t xml:space="preserve">du </w:t>
    </w:r>
    <w:r w:rsidR="0018740B">
      <w:rPr>
        <w:i/>
        <w:iCs/>
        <w:color w:val="C00000"/>
      </w:rPr>
      <w:t>29 janvier</w:t>
    </w:r>
    <w:r w:rsidR="00B324A1" w:rsidRPr="00B324A1">
      <w:rPr>
        <w:i/>
        <w:iCs/>
        <w:color w:val="C00000"/>
      </w:rPr>
      <w:t xml:space="preserve"> 2020</w:t>
    </w:r>
  </w:p>
  <w:p w14:paraId="401344E9" w14:textId="77777777" w:rsidR="00334E73" w:rsidRDefault="00334E73">
    <w:pPr>
      <w:pStyle w:val="En-tte"/>
    </w:pPr>
  </w:p>
  <w:p w14:paraId="2EC100F9" w14:textId="77777777" w:rsidR="00DB3409" w:rsidRDefault="00DB34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A4D7" w14:textId="74085042" w:rsidR="00873AB6" w:rsidRDefault="001320C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FBF274" wp14:editId="63F0EA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285" cy="101473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106285" cy="1014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4F766" w14:textId="77777777" w:rsidR="001320C3" w:rsidRDefault="001320C3" w:rsidP="001320C3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NE PAS DIFFUSER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DFBF27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margin-left:0;margin-top:0;width:559.55pt;height:79.9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2414F766" w14:textId="77777777" w:rsidR="001320C3" w:rsidRDefault="001320C3" w:rsidP="001320C3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NE PAS DIFFUSER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B5"/>
    <w:multiLevelType w:val="hybridMultilevel"/>
    <w:tmpl w:val="3BFE0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7F72"/>
    <w:multiLevelType w:val="hybridMultilevel"/>
    <w:tmpl w:val="32EAB7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58A4"/>
    <w:multiLevelType w:val="multilevel"/>
    <w:tmpl w:val="8B8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20844"/>
    <w:multiLevelType w:val="multilevel"/>
    <w:tmpl w:val="036ED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F22B6"/>
    <w:multiLevelType w:val="hybridMultilevel"/>
    <w:tmpl w:val="E12257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033A2"/>
    <w:multiLevelType w:val="hybridMultilevel"/>
    <w:tmpl w:val="F9D87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A2B73"/>
    <w:multiLevelType w:val="hybridMultilevel"/>
    <w:tmpl w:val="D144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F7FFC"/>
    <w:multiLevelType w:val="multilevel"/>
    <w:tmpl w:val="967E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D5311"/>
    <w:multiLevelType w:val="hybridMultilevel"/>
    <w:tmpl w:val="80FCC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795"/>
    <w:multiLevelType w:val="multilevel"/>
    <w:tmpl w:val="5EE61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24303"/>
    <w:multiLevelType w:val="hybridMultilevel"/>
    <w:tmpl w:val="1DFA7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D6D5E"/>
    <w:multiLevelType w:val="multilevel"/>
    <w:tmpl w:val="036ED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11CF2"/>
    <w:multiLevelType w:val="hybridMultilevel"/>
    <w:tmpl w:val="50D091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5BB5"/>
    <w:multiLevelType w:val="hybridMultilevel"/>
    <w:tmpl w:val="D528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E3C6C"/>
    <w:multiLevelType w:val="multilevel"/>
    <w:tmpl w:val="5AF4B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409E4"/>
    <w:multiLevelType w:val="hybridMultilevel"/>
    <w:tmpl w:val="A572B9A0"/>
    <w:lvl w:ilvl="0" w:tplc="DE4C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C7D5A"/>
    <w:multiLevelType w:val="hybridMultilevel"/>
    <w:tmpl w:val="FDEC0B3C"/>
    <w:lvl w:ilvl="0" w:tplc="BC84AD22">
      <w:start w:val="10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DB38B0"/>
    <w:multiLevelType w:val="hybridMultilevel"/>
    <w:tmpl w:val="4C1C44E2"/>
    <w:lvl w:ilvl="0" w:tplc="C8F86D3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52952"/>
    <w:multiLevelType w:val="hybridMultilevel"/>
    <w:tmpl w:val="F66877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E983295"/>
    <w:multiLevelType w:val="hybridMultilevel"/>
    <w:tmpl w:val="40DEED9A"/>
    <w:lvl w:ilvl="0" w:tplc="C8F86D3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01C4"/>
    <w:multiLevelType w:val="hybridMultilevel"/>
    <w:tmpl w:val="EA46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06BC7"/>
    <w:multiLevelType w:val="multilevel"/>
    <w:tmpl w:val="036ED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54A7A"/>
    <w:multiLevelType w:val="hybridMultilevel"/>
    <w:tmpl w:val="FE86F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672AA"/>
    <w:multiLevelType w:val="hybridMultilevel"/>
    <w:tmpl w:val="4AEC8D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0D84"/>
    <w:multiLevelType w:val="multilevel"/>
    <w:tmpl w:val="036ED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451B9"/>
    <w:multiLevelType w:val="multilevel"/>
    <w:tmpl w:val="C9B6F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46850"/>
    <w:multiLevelType w:val="hybridMultilevel"/>
    <w:tmpl w:val="A648B2EA"/>
    <w:lvl w:ilvl="0" w:tplc="BC84AD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8436C"/>
    <w:multiLevelType w:val="hybridMultilevel"/>
    <w:tmpl w:val="80FCC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7333F"/>
    <w:multiLevelType w:val="multilevel"/>
    <w:tmpl w:val="4E628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4167D3"/>
    <w:multiLevelType w:val="hybridMultilevel"/>
    <w:tmpl w:val="4552D746"/>
    <w:lvl w:ilvl="0" w:tplc="C8F86D3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C552D"/>
    <w:multiLevelType w:val="multilevel"/>
    <w:tmpl w:val="E2A20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F4C16"/>
    <w:multiLevelType w:val="multilevel"/>
    <w:tmpl w:val="71B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875B7"/>
    <w:multiLevelType w:val="multilevel"/>
    <w:tmpl w:val="5F603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24915"/>
    <w:multiLevelType w:val="multilevel"/>
    <w:tmpl w:val="CCA6A1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5F0E53"/>
    <w:multiLevelType w:val="multilevel"/>
    <w:tmpl w:val="732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C2899"/>
    <w:multiLevelType w:val="hybridMultilevel"/>
    <w:tmpl w:val="47E0AB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1AE2"/>
    <w:multiLevelType w:val="hybridMultilevel"/>
    <w:tmpl w:val="3AD20718"/>
    <w:lvl w:ilvl="0" w:tplc="AEE65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E4002"/>
    <w:multiLevelType w:val="hybridMultilevel"/>
    <w:tmpl w:val="2500B4F8"/>
    <w:lvl w:ilvl="0" w:tplc="040C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34BED"/>
    <w:multiLevelType w:val="hybridMultilevel"/>
    <w:tmpl w:val="1EECC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00D4F"/>
    <w:multiLevelType w:val="hybridMultilevel"/>
    <w:tmpl w:val="B1F47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B2E48"/>
    <w:multiLevelType w:val="hybridMultilevel"/>
    <w:tmpl w:val="80FCC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A3C9D"/>
    <w:multiLevelType w:val="hybridMultilevel"/>
    <w:tmpl w:val="06D210E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F11ACA"/>
    <w:multiLevelType w:val="multilevel"/>
    <w:tmpl w:val="CAF82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87E9F"/>
    <w:multiLevelType w:val="multilevel"/>
    <w:tmpl w:val="F0D6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13"/>
  </w:num>
  <w:num w:numId="5">
    <w:abstractNumId w:val="13"/>
  </w:num>
  <w:num w:numId="6">
    <w:abstractNumId w:val="38"/>
  </w:num>
  <w:num w:numId="7">
    <w:abstractNumId w:val="6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6"/>
  </w:num>
  <w:num w:numId="22">
    <w:abstractNumId w:val="8"/>
  </w:num>
  <w:num w:numId="23">
    <w:abstractNumId w:val="15"/>
  </w:num>
  <w:num w:numId="24">
    <w:abstractNumId w:val="5"/>
  </w:num>
  <w:num w:numId="25">
    <w:abstractNumId w:val="17"/>
  </w:num>
  <w:num w:numId="26">
    <w:abstractNumId w:val="39"/>
  </w:num>
  <w:num w:numId="27">
    <w:abstractNumId w:val="41"/>
  </w:num>
  <w:num w:numId="28">
    <w:abstractNumId w:val="20"/>
  </w:num>
  <w:num w:numId="29">
    <w:abstractNumId w:val="23"/>
  </w:num>
  <w:num w:numId="30">
    <w:abstractNumId w:val="22"/>
  </w:num>
  <w:num w:numId="31">
    <w:abstractNumId w:val="31"/>
  </w:num>
  <w:num w:numId="32">
    <w:abstractNumId w:val="7"/>
  </w:num>
  <w:num w:numId="33">
    <w:abstractNumId w:val="33"/>
  </w:num>
  <w:num w:numId="34">
    <w:abstractNumId w:val="14"/>
  </w:num>
  <w:num w:numId="35">
    <w:abstractNumId w:val="1"/>
  </w:num>
  <w:num w:numId="36">
    <w:abstractNumId w:val="4"/>
  </w:num>
  <w:num w:numId="37">
    <w:abstractNumId w:val="35"/>
  </w:num>
  <w:num w:numId="38">
    <w:abstractNumId w:val="26"/>
  </w:num>
  <w:num w:numId="39">
    <w:abstractNumId w:val="37"/>
  </w:num>
  <w:num w:numId="40">
    <w:abstractNumId w:val="43"/>
  </w:num>
  <w:num w:numId="41">
    <w:abstractNumId w:val="2"/>
  </w:num>
  <w:num w:numId="42">
    <w:abstractNumId w:val="16"/>
  </w:num>
  <w:num w:numId="43">
    <w:abstractNumId w:val="19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5"/>
    <w:rsid w:val="00006AD2"/>
    <w:rsid w:val="000139D6"/>
    <w:rsid w:val="00023973"/>
    <w:rsid w:val="000279FE"/>
    <w:rsid w:val="000315DC"/>
    <w:rsid w:val="00032F95"/>
    <w:rsid w:val="000579AA"/>
    <w:rsid w:val="00057F34"/>
    <w:rsid w:val="00061548"/>
    <w:rsid w:val="000630E1"/>
    <w:rsid w:val="000635FD"/>
    <w:rsid w:val="000665FC"/>
    <w:rsid w:val="000709D2"/>
    <w:rsid w:val="000723B7"/>
    <w:rsid w:val="000774C8"/>
    <w:rsid w:val="0007772B"/>
    <w:rsid w:val="00082762"/>
    <w:rsid w:val="000859C2"/>
    <w:rsid w:val="000878F2"/>
    <w:rsid w:val="000A59DE"/>
    <w:rsid w:val="000A6717"/>
    <w:rsid w:val="000A7BD1"/>
    <w:rsid w:val="000A7D56"/>
    <w:rsid w:val="000B6F9D"/>
    <w:rsid w:val="000C0046"/>
    <w:rsid w:val="000C0FC7"/>
    <w:rsid w:val="000C4B4D"/>
    <w:rsid w:val="000D521D"/>
    <w:rsid w:val="000D6615"/>
    <w:rsid w:val="000E0638"/>
    <w:rsid w:val="000E657C"/>
    <w:rsid w:val="000F4239"/>
    <w:rsid w:val="000F567B"/>
    <w:rsid w:val="000F6AB5"/>
    <w:rsid w:val="00100383"/>
    <w:rsid w:val="001009A1"/>
    <w:rsid w:val="00101BBF"/>
    <w:rsid w:val="001050F9"/>
    <w:rsid w:val="0010781B"/>
    <w:rsid w:val="00114EBB"/>
    <w:rsid w:val="00115879"/>
    <w:rsid w:val="00117BA6"/>
    <w:rsid w:val="00124E1A"/>
    <w:rsid w:val="00130380"/>
    <w:rsid w:val="001320C3"/>
    <w:rsid w:val="001343CE"/>
    <w:rsid w:val="00137377"/>
    <w:rsid w:val="0014594D"/>
    <w:rsid w:val="00151EA8"/>
    <w:rsid w:val="00153E83"/>
    <w:rsid w:val="00157692"/>
    <w:rsid w:val="00161424"/>
    <w:rsid w:val="0016271F"/>
    <w:rsid w:val="00167012"/>
    <w:rsid w:val="00167A14"/>
    <w:rsid w:val="00172B42"/>
    <w:rsid w:val="00172E63"/>
    <w:rsid w:val="001828DD"/>
    <w:rsid w:val="00184AE8"/>
    <w:rsid w:val="0018598A"/>
    <w:rsid w:val="00185ACD"/>
    <w:rsid w:val="0018740B"/>
    <w:rsid w:val="00191005"/>
    <w:rsid w:val="001920D6"/>
    <w:rsid w:val="00193625"/>
    <w:rsid w:val="0019707C"/>
    <w:rsid w:val="001A0118"/>
    <w:rsid w:val="001A0F87"/>
    <w:rsid w:val="001B45AB"/>
    <w:rsid w:val="001B5353"/>
    <w:rsid w:val="001C5600"/>
    <w:rsid w:val="001D25AC"/>
    <w:rsid w:val="001D7A30"/>
    <w:rsid w:val="001E05D9"/>
    <w:rsid w:val="001E06ED"/>
    <w:rsid w:val="001E4E70"/>
    <w:rsid w:val="001E7DF2"/>
    <w:rsid w:val="001F16B2"/>
    <w:rsid w:val="001F23AB"/>
    <w:rsid w:val="001F6BC7"/>
    <w:rsid w:val="00201FBD"/>
    <w:rsid w:val="0020263E"/>
    <w:rsid w:val="00222623"/>
    <w:rsid w:val="00244935"/>
    <w:rsid w:val="00247364"/>
    <w:rsid w:val="0025252B"/>
    <w:rsid w:val="00255677"/>
    <w:rsid w:val="00263A16"/>
    <w:rsid w:val="002675FD"/>
    <w:rsid w:val="00290367"/>
    <w:rsid w:val="00290377"/>
    <w:rsid w:val="00290DE9"/>
    <w:rsid w:val="00291A8A"/>
    <w:rsid w:val="002A3353"/>
    <w:rsid w:val="002A5B6C"/>
    <w:rsid w:val="002A76F7"/>
    <w:rsid w:val="002A7DAF"/>
    <w:rsid w:val="002B1ED5"/>
    <w:rsid w:val="002B609E"/>
    <w:rsid w:val="002C3226"/>
    <w:rsid w:val="002C4E9F"/>
    <w:rsid w:val="002D0C3B"/>
    <w:rsid w:val="002D1A11"/>
    <w:rsid w:val="002D381D"/>
    <w:rsid w:val="002D4D1B"/>
    <w:rsid w:val="002E7A8D"/>
    <w:rsid w:val="002E7DC5"/>
    <w:rsid w:val="002F3469"/>
    <w:rsid w:val="0030460B"/>
    <w:rsid w:val="0031230F"/>
    <w:rsid w:val="00312734"/>
    <w:rsid w:val="00313D39"/>
    <w:rsid w:val="00320F00"/>
    <w:rsid w:val="00320FB1"/>
    <w:rsid w:val="0032519A"/>
    <w:rsid w:val="00330FE3"/>
    <w:rsid w:val="00333DA9"/>
    <w:rsid w:val="00334E73"/>
    <w:rsid w:val="0033507C"/>
    <w:rsid w:val="003354DC"/>
    <w:rsid w:val="003403B2"/>
    <w:rsid w:val="003403D0"/>
    <w:rsid w:val="00340A98"/>
    <w:rsid w:val="003442F1"/>
    <w:rsid w:val="0034569A"/>
    <w:rsid w:val="00345F6A"/>
    <w:rsid w:val="003468DA"/>
    <w:rsid w:val="00350C8B"/>
    <w:rsid w:val="003605E7"/>
    <w:rsid w:val="003619FD"/>
    <w:rsid w:val="00367A2D"/>
    <w:rsid w:val="00373427"/>
    <w:rsid w:val="00374046"/>
    <w:rsid w:val="003756A5"/>
    <w:rsid w:val="003844A8"/>
    <w:rsid w:val="0038460D"/>
    <w:rsid w:val="00387B95"/>
    <w:rsid w:val="00390B9A"/>
    <w:rsid w:val="00397099"/>
    <w:rsid w:val="003A260F"/>
    <w:rsid w:val="003A294E"/>
    <w:rsid w:val="003A65D5"/>
    <w:rsid w:val="003B4338"/>
    <w:rsid w:val="003B6430"/>
    <w:rsid w:val="003C27E2"/>
    <w:rsid w:val="003D397F"/>
    <w:rsid w:val="003D42A8"/>
    <w:rsid w:val="003D5F4C"/>
    <w:rsid w:val="003D7AF7"/>
    <w:rsid w:val="003E2CBB"/>
    <w:rsid w:val="003F2720"/>
    <w:rsid w:val="004037C3"/>
    <w:rsid w:val="004054C8"/>
    <w:rsid w:val="00412466"/>
    <w:rsid w:val="004212DA"/>
    <w:rsid w:val="00423B7C"/>
    <w:rsid w:val="0042570B"/>
    <w:rsid w:val="00426C8D"/>
    <w:rsid w:val="00433959"/>
    <w:rsid w:val="0043748B"/>
    <w:rsid w:val="004411A1"/>
    <w:rsid w:val="00443CE0"/>
    <w:rsid w:val="00444A2B"/>
    <w:rsid w:val="00445480"/>
    <w:rsid w:val="00445AD2"/>
    <w:rsid w:val="00445E87"/>
    <w:rsid w:val="00446DBD"/>
    <w:rsid w:val="00453706"/>
    <w:rsid w:val="00472531"/>
    <w:rsid w:val="00472565"/>
    <w:rsid w:val="00474232"/>
    <w:rsid w:val="00476207"/>
    <w:rsid w:val="0048237B"/>
    <w:rsid w:val="00483824"/>
    <w:rsid w:val="004858B5"/>
    <w:rsid w:val="00493D2B"/>
    <w:rsid w:val="00497AF2"/>
    <w:rsid w:val="004A775E"/>
    <w:rsid w:val="004B05D1"/>
    <w:rsid w:val="004C1AB7"/>
    <w:rsid w:val="004D11E3"/>
    <w:rsid w:val="004D4520"/>
    <w:rsid w:val="004E29F8"/>
    <w:rsid w:val="004E34DC"/>
    <w:rsid w:val="004E396A"/>
    <w:rsid w:val="004F3917"/>
    <w:rsid w:val="00500ABF"/>
    <w:rsid w:val="005176DB"/>
    <w:rsid w:val="005313B6"/>
    <w:rsid w:val="005314B5"/>
    <w:rsid w:val="00535854"/>
    <w:rsid w:val="00537E03"/>
    <w:rsid w:val="00552B0B"/>
    <w:rsid w:val="00553CD9"/>
    <w:rsid w:val="00555E2D"/>
    <w:rsid w:val="00560651"/>
    <w:rsid w:val="00560B49"/>
    <w:rsid w:val="005750D0"/>
    <w:rsid w:val="00580B2A"/>
    <w:rsid w:val="0059144E"/>
    <w:rsid w:val="005A0AD9"/>
    <w:rsid w:val="005A374B"/>
    <w:rsid w:val="005A390C"/>
    <w:rsid w:val="005A57B0"/>
    <w:rsid w:val="005A7466"/>
    <w:rsid w:val="005B7693"/>
    <w:rsid w:val="005D0B29"/>
    <w:rsid w:val="005D5E41"/>
    <w:rsid w:val="005D7108"/>
    <w:rsid w:val="005E0D0B"/>
    <w:rsid w:val="005E1D87"/>
    <w:rsid w:val="005E53D3"/>
    <w:rsid w:val="005E6416"/>
    <w:rsid w:val="005E6FB6"/>
    <w:rsid w:val="005F3506"/>
    <w:rsid w:val="005F58A3"/>
    <w:rsid w:val="00601086"/>
    <w:rsid w:val="00601C5B"/>
    <w:rsid w:val="00612079"/>
    <w:rsid w:val="00617202"/>
    <w:rsid w:val="00640D20"/>
    <w:rsid w:val="006505A7"/>
    <w:rsid w:val="00664403"/>
    <w:rsid w:val="006656D4"/>
    <w:rsid w:val="006676D8"/>
    <w:rsid w:val="0068063A"/>
    <w:rsid w:val="00685F68"/>
    <w:rsid w:val="00692BBF"/>
    <w:rsid w:val="0069422D"/>
    <w:rsid w:val="00694D5B"/>
    <w:rsid w:val="00697790"/>
    <w:rsid w:val="0069785C"/>
    <w:rsid w:val="006A0D5D"/>
    <w:rsid w:val="006B0976"/>
    <w:rsid w:val="006B3002"/>
    <w:rsid w:val="006B4FD1"/>
    <w:rsid w:val="006D34A4"/>
    <w:rsid w:val="006D3B08"/>
    <w:rsid w:val="006D4D74"/>
    <w:rsid w:val="006E62CA"/>
    <w:rsid w:val="006E6BDA"/>
    <w:rsid w:val="006E77B9"/>
    <w:rsid w:val="006E78D0"/>
    <w:rsid w:val="007020F9"/>
    <w:rsid w:val="007045C6"/>
    <w:rsid w:val="007057CB"/>
    <w:rsid w:val="007113F8"/>
    <w:rsid w:val="00724C9C"/>
    <w:rsid w:val="00727EA9"/>
    <w:rsid w:val="00731405"/>
    <w:rsid w:val="00741F04"/>
    <w:rsid w:val="00751160"/>
    <w:rsid w:val="0075129C"/>
    <w:rsid w:val="00755EBD"/>
    <w:rsid w:val="00756FEC"/>
    <w:rsid w:val="0076772E"/>
    <w:rsid w:val="0077434C"/>
    <w:rsid w:val="00774720"/>
    <w:rsid w:val="0077596D"/>
    <w:rsid w:val="00777B15"/>
    <w:rsid w:val="0078203F"/>
    <w:rsid w:val="00790201"/>
    <w:rsid w:val="00794578"/>
    <w:rsid w:val="007A4E25"/>
    <w:rsid w:val="007A619D"/>
    <w:rsid w:val="007A6FF4"/>
    <w:rsid w:val="007B188A"/>
    <w:rsid w:val="007B31AC"/>
    <w:rsid w:val="007C0A09"/>
    <w:rsid w:val="007C0D68"/>
    <w:rsid w:val="007C1859"/>
    <w:rsid w:val="007C54E2"/>
    <w:rsid w:val="007D3EE6"/>
    <w:rsid w:val="007D4A64"/>
    <w:rsid w:val="007D589D"/>
    <w:rsid w:val="007D61A1"/>
    <w:rsid w:val="008034E3"/>
    <w:rsid w:val="00804958"/>
    <w:rsid w:val="00811CE7"/>
    <w:rsid w:val="0082446A"/>
    <w:rsid w:val="00827C2E"/>
    <w:rsid w:val="0084322A"/>
    <w:rsid w:val="00843398"/>
    <w:rsid w:val="0085596D"/>
    <w:rsid w:val="00856475"/>
    <w:rsid w:val="00871BDD"/>
    <w:rsid w:val="00873AB6"/>
    <w:rsid w:val="00876877"/>
    <w:rsid w:val="008C1A09"/>
    <w:rsid w:val="008C4309"/>
    <w:rsid w:val="008C7FE1"/>
    <w:rsid w:val="008D44CF"/>
    <w:rsid w:val="008D5CAA"/>
    <w:rsid w:val="008D7515"/>
    <w:rsid w:val="008E2BBB"/>
    <w:rsid w:val="008F0FEA"/>
    <w:rsid w:val="008F3E6C"/>
    <w:rsid w:val="00913116"/>
    <w:rsid w:val="009167A2"/>
    <w:rsid w:val="00934F8A"/>
    <w:rsid w:val="00937FC0"/>
    <w:rsid w:val="00943C37"/>
    <w:rsid w:val="009535F2"/>
    <w:rsid w:val="00955E6C"/>
    <w:rsid w:val="009640B6"/>
    <w:rsid w:val="0096425F"/>
    <w:rsid w:val="00972D50"/>
    <w:rsid w:val="00973C27"/>
    <w:rsid w:val="0097668D"/>
    <w:rsid w:val="00977FC4"/>
    <w:rsid w:val="009A24E3"/>
    <w:rsid w:val="009A67D4"/>
    <w:rsid w:val="009B72A5"/>
    <w:rsid w:val="009B7DA6"/>
    <w:rsid w:val="009C61A7"/>
    <w:rsid w:val="009D359D"/>
    <w:rsid w:val="009E08BE"/>
    <w:rsid w:val="009F5ECF"/>
    <w:rsid w:val="00A01249"/>
    <w:rsid w:val="00A11FA3"/>
    <w:rsid w:val="00A15A30"/>
    <w:rsid w:val="00A160D0"/>
    <w:rsid w:val="00A26057"/>
    <w:rsid w:val="00A30F70"/>
    <w:rsid w:val="00A44AAA"/>
    <w:rsid w:val="00A51155"/>
    <w:rsid w:val="00A579E2"/>
    <w:rsid w:val="00A70D7F"/>
    <w:rsid w:val="00A95FE8"/>
    <w:rsid w:val="00A96030"/>
    <w:rsid w:val="00A974F9"/>
    <w:rsid w:val="00AA27EC"/>
    <w:rsid w:val="00AA28F6"/>
    <w:rsid w:val="00AA2B48"/>
    <w:rsid w:val="00AA2E78"/>
    <w:rsid w:val="00AA7480"/>
    <w:rsid w:val="00AB1AFD"/>
    <w:rsid w:val="00AB3419"/>
    <w:rsid w:val="00AB47C2"/>
    <w:rsid w:val="00AD2C54"/>
    <w:rsid w:val="00AD6C49"/>
    <w:rsid w:val="00AD6DDC"/>
    <w:rsid w:val="00AE0A7A"/>
    <w:rsid w:val="00AE7524"/>
    <w:rsid w:val="00AE758E"/>
    <w:rsid w:val="00AE7C85"/>
    <w:rsid w:val="00AF0CDC"/>
    <w:rsid w:val="00B11029"/>
    <w:rsid w:val="00B118A4"/>
    <w:rsid w:val="00B13E5D"/>
    <w:rsid w:val="00B143C8"/>
    <w:rsid w:val="00B14DB9"/>
    <w:rsid w:val="00B21C37"/>
    <w:rsid w:val="00B23E29"/>
    <w:rsid w:val="00B240F0"/>
    <w:rsid w:val="00B324A1"/>
    <w:rsid w:val="00B40404"/>
    <w:rsid w:val="00B40A86"/>
    <w:rsid w:val="00B47D01"/>
    <w:rsid w:val="00B52483"/>
    <w:rsid w:val="00B54C1B"/>
    <w:rsid w:val="00B579DE"/>
    <w:rsid w:val="00B631C4"/>
    <w:rsid w:val="00B6368E"/>
    <w:rsid w:val="00B67A35"/>
    <w:rsid w:val="00B94769"/>
    <w:rsid w:val="00B94DBE"/>
    <w:rsid w:val="00BB62A4"/>
    <w:rsid w:val="00BC045E"/>
    <w:rsid w:val="00BC17D5"/>
    <w:rsid w:val="00BC1B12"/>
    <w:rsid w:val="00BD482E"/>
    <w:rsid w:val="00C07334"/>
    <w:rsid w:val="00C12038"/>
    <w:rsid w:val="00C34339"/>
    <w:rsid w:val="00C53D0E"/>
    <w:rsid w:val="00C62D12"/>
    <w:rsid w:val="00C66645"/>
    <w:rsid w:val="00C67584"/>
    <w:rsid w:val="00C67CEA"/>
    <w:rsid w:val="00C73DA3"/>
    <w:rsid w:val="00C76DA0"/>
    <w:rsid w:val="00C979C4"/>
    <w:rsid w:val="00CB2CBA"/>
    <w:rsid w:val="00CB5E33"/>
    <w:rsid w:val="00CB6E33"/>
    <w:rsid w:val="00CC0ECE"/>
    <w:rsid w:val="00CC229B"/>
    <w:rsid w:val="00CC4B35"/>
    <w:rsid w:val="00CE0EA1"/>
    <w:rsid w:val="00CF2FAB"/>
    <w:rsid w:val="00D0288A"/>
    <w:rsid w:val="00D02DB1"/>
    <w:rsid w:val="00D05ABF"/>
    <w:rsid w:val="00D13D5F"/>
    <w:rsid w:val="00D17BDB"/>
    <w:rsid w:val="00D352CF"/>
    <w:rsid w:val="00D415CE"/>
    <w:rsid w:val="00D503EB"/>
    <w:rsid w:val="00D624D7"/>
    <w:rsid w:val="00D65AEC"/>
    <w:rsid w:val="00D7041B"/>
    <w:rsid w:val="00D73C37"/>
    <w:rsid w:val="00D96386"/>
    <w:rsid w:val="00DA7E65"/>
    <w:rsid w:val="00DB0A4D"/>
    <w:rsid w:val="00DB24C1"/>
    <w:rsid w:val="00DB2CB9"/>
    <w:rsid w:val="00DB3409"/>
    <w:rsid w:val="00DB71AA"/>
    <w:rsid w:val="00DC11DF"/>
    <w:rsid w:val="00DC76AC"/>
    <w:rsid w:val="00DE2A23"/>
    <w:rsid w:val="00DE2D76"/>
    <w:rsid w:val="00DE4B33"/>
    <w:rsid w:val="00DF1080"/>
    <w:rsid w:val="00DF15AE"/>
    <w:rsid w:val="00E05A36"/>
    <w:rsid w:val="00E06783"/>
    <w:rsid w:val="00E0782B"/>
    <w:rsid w:val="00E13E71"/>
    <w:rsid w:val="00E22553"/>
    <w:rsid w:val="00E30C0B"/>
    <w:rsid w:val="00E33860"/>
    <w:rsid w:val="00E374FD"/>
    <w:rsid w:val="00E40D98"/>
    <w:rsid w:val="00E425C9"/>
    <w:rsid w:val="00E44ABA"/>
    <w:rsid w:val="00E61494"/>
    <w:rsid w:val="00E65E09"/>
    <w:rsid w:val="00E73568"/>
    <w:rsid w:val="00E76C53"/>
    <w:rsid w:val="00E87350"/>
    <w:rsid w:val="00EB2100"/>
    <w:rsid w:val="00EB4603"/>
    <w:rsid w:val="00EC6AD0"/>
    <w:rsid w:val="00EC6D39"/>
    <w:rsid w:val="00ED0B6B"/>
    <w:rsid w:val="00ED4E38"/>
    <w:rsid w:val="00EE0386"/>
    <w:rsid w:val="00EE62CB"/>
    <w:rsid w:val="00EE70B2"/>
    <w:rsid w:val="00F02ACF"/>
    <w:rsid w:val="00F10B00"/>
    <w:rsid w:val="00F1142E"/>
    <w:rsid w:val="00F1204E"/>
    <w:rsid w:val="00F13C16"/>
    <w:rsid w:val="00F144A5"/>
    <w:rsid w:val="00F23EB7"/>
    <w:rsid w:val="00F30B5D"/>
    <w:rsid w:val="00F40476"/>
    <w:rsid w:val="00F429B7"/>
    <w:rsid w:val="00F44EB2"/>
    <w:rsid w:val="00F538C5"/>
    <w:rsid w:val="00F66ACE"/>
    <w:rsid w:val="00F70EAB"/>
    <w:rsid w:val="00F81CAF"/>
    <w:rsid w:val="00FA2B34"/>
    <w:rsid w:val="00FB0AFA"/>
    <w:rsid w:val="00FC4707"/>
    <w:rsid w:val="00FC4E2B"/>
    <w:rsid w:val="00FD4B14"/>
    <w:rsid w:val="00FE0857"/>
    <w:rsid w:val="00FE0A48"/>
    <w:rsid w:val="00FE247D"/>
    <w:rsid w:val="00FE3E39"/>
    <w:rsid w:val="00FF2D19"/>
    <w:rsid w:val="00FF3B1A"/>
    <w:rsid w:val="00FF43E0"/>
    <w:rsid w:val="00FF45EB"/>
    <w:rsid w:val="00FF712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B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67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0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311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3116"/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13116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E05A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05A3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3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3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733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E247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1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FA3"/>
  </w:style>
  <w:style w:type="paragraph" w:styleId="Pieddepage">
    <w:name w:val="footer"/>
    <w:basedOn w:val="Normal"/>
    <w:link w:val="PieddepageCar"/>
    <w:uiPriority w:val="99"/>
    <w:unhideWhenUsed/>
    <w:rsid w:val="00A11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FA3"/>
  </w:style>
  <w:style w:type="paragraph" w:customStyle="1" w:styleId="Default">
    <w:name w:val="Default"/>
    <w:rsid w:val="001F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2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DB9"/>
    <w:rPr>
      <w:color w:val="605E5C"/>
      <w:shd w:val="clear" w:color="auto" w:fill="E1DFDD"/>
    </w:rPr>
  </w:style>
  <w:style w:type="character" w:customStyle="1" w:styleId="highlight">
    <w:name w:val="highlight"/>
    <w:basedOn w:val="Policepardfaut"/>
    <w:rsid w:val="006505A7"/>
  </w:style>
  <w:style w:type="paragraph" w:styleId="NormalWeb">
    <w:name w:val="Normal (Web)"/>
    <w:basedOn w:val="Normal"/>
    <w:uiPriority w:val="99"/>
    <w:unhideWhenUsed/>
    <w:rsid w:val="00423B7C"/>
    <w:pPr>
      <w:spacing w:before="100" w:beforeAutospacing="1" w:after="100" w:afterAutospacing="1"/>
    </w:pPr>
  </w:style>
  <w:style w:type="character" w:customStyle="1" w:styleId="italic">
    <w:name w:val="italic"/>
    <w:basedOn w:val="Policepardfaut"/>
    <w:rsid w:val="00423B7C"/>
  </w:style>
  <w:style w:type="character" w:customStyle="1" w:styleId="Mentionnonrsolue2">
    <w:name w:val="Mention non résolue2"/>
    <w:basedOn w:val="Policepardfaut"/>
    <w:uiPriority w:val="99"/>
    <w:semiHidden/>
    <w:unhideWhenUsed/>
    <w:rsid w:val="00DB0A4D"/>
    <w:rPr>
      <w:color w:val="605E5C"/>
      <w:shd w:val="clear" w:color="auto" w:fill="E1DFDD"/>
    </w:rPr>
  </w:style>
  <w:style w:type="table" w:customStyle="1" w:styleId="TableauGrille4-Accentuation61">
    <w:name w:val="Tableau Grille 4 - Accentuation 61"/>
    <w:basedOn w:val="TableauNormal"/>
    <w:uiPriority w:val="49"/>
    <w:rsid w:val="0066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A01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A01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00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47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36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6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67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0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311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3116"/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13116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E05A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05A3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3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3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733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E247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1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FA3"/>
  </w:style>
  <w:style w:type="paragraph" w:styleId="Pieddepage">
    <w:name w:val="footer"/>
    <w:basedOn w:val="Normal"/>
    <w:link w:val="PieddepageCar"/>
    <w:uiPriority w:val="99"/>
    <w:unhideWhenUsed/>
    <w:rsid w:val="00A11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FA3"/>
  </w:style>
  <w:style w:type="paragraph" w:customStyle="1" w:styleId="Default">
    <w:name w:val="Default"/>
    <w:rsid w:val="001F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2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2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DB9"/>
    <w:rPr>
      <w:color w:val="605E5C"/>
      <w:shd w:val="clear" w:color="auto" w:fill="E1DFDD"/>
    </w:rPr>
  </w:style>
  <w:style w:type="character" w:customStyle="1" w:styleId="highlight">
    <w:name w:val="highlight"/>
    <w:basedOn w:val="Policepardfaut"/>
    <w:rsid w:val="006505A7"/>
  </w:style>
  <w:style w:type="paragraph" w:styleId="NormalWeb">
    <w:name w:val="Normal (Web)"/>
    <w:basedOn w:val="Normal"/>
    <w:uiPriority w:val="99"/>
    <w:unhideWhenUsed/>
    <w:rsid w:val="00423B7C"/>
    <w:pPr>
      <w:spacing w:before="100" w:beforeAutospacing="1" w:after="100" w:afterAutospacing="1"/>
    </w:pPr>
  </w:style>
  <w:style w:type="character" w:customStyle="1" w:styleId="italic">
    <w:name w:val="italic"/>
    <w:basedOn w:val="Policepardfaut"/>
    <w:rsid w:val="00423B7C"/>
  </w:style>
  <w:style w:type="character" w:customStyle="1" w:styleId="Mentionnonrsolue2">
    <w:name w:val="Mention non résolue2"/>
    <w:basedOn w:val="Policepardfaut"/>
    <w:uiPriority w:val="99"/>
    <w:semiHidden/>
    <w:unhideWhenUsed/>
    <w:rsid w:val="00DB0A4D"/>
    <w:rPr>
      <w:color w:val="605E5C"/>
      <w:shd w:val="clear" w:color="auto" w:fill="E1DFDD"/>
    </w:rPr>
  </w:style>
  <w:style w:type="table" w:customStyle="1" w:styleId="TableauGrille4-Accentuation61">
    <w:name w:val="Tableau Grille 4 - Accentuation 61"/>
    <w:basedOn w:val="TableauNormal"/>
    <w:uiPriority w:val="49"/>
    <w:rsid w:val="0066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A01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A01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00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47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36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13619FF0BB94899B322728BC9F34E" ma:contentTypeVersion="10" ma:contentTypeDescription="Crée un document." ma:contentTypeScope="" ma:versionID="f650c59cee4ba849a685f3aea6570996">
  <xsd:schema xmlns:xsd="http://www.w3.org/2001/XMLSchema" xmlns:xs="http://www.w3.org/2001/XMLSchema" xmlns:p="http://schemas.microsoft.com/office/2006/metadata/properties" xmlns:ns3="b67a45f5-fc53-4927-9123-04f456fd02c7" xmlns:ns4="5e77ed5d-b3cc-4647-8926-d4dd95ed9491" targetNamespace="http://schemas.microsoft.com/office/2006/metadata/properties" ma:root="true" ma:fieldsID="57311fa7cb112983364779b88d5e3e9e" ns3:_="" ns4:_="">
    <xsd:import namespace="b67a45f5-fc53-4927-9123-04f456fd02c7"/>
    <xsd:import namespace="5e77ed5d-b3cc-4647-8926-d4dd95ed94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45f5-fc53-4927-9123-04f456fd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ed5d-b3cc-4647-8926-d4dd95ed9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90B2-9C4A-4490-A8FA-498E3EED0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9CC50-C18F-42A3-8F90-B2A2D90E6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2E333-ABB4-4E15-A863-D86F0707C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45f5-fc53-4927-9123-04f456fd02c7"/>
    <ds:schemaRef ds:uri="5e77ed5d-b3cc-4647-8926-d4dd95ed9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06BB8-EF05-4606-8296-97FA026D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2532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MATHIEU-FIGUEIREDO Léa</dc:creator>
  <cp:lastModifiedBy>FCD</cp:lastModifiedBy>
  <cp:revision>13</cp:revision>
  <cp:lastPrinted>2020-01-21T08:39:00Z</cp:lastPrinted>
  <dcterms:created xsi:type="dcterms:W3CDTF">2020-01-21T08:57:00Z</dcterms:created>
  <dcterms:modified xsi:type="dcterms:W3CDTF">2020-01-29T15:52:00Z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0x01010038413619FF0BB94899B322728BC9F34E</vt:lpwstr>
  </property>
  <property fmtid="{D5CDD505-2E9C-101B-9397-08002B2CF9AE}" pid="3" name="_dlc_DocIdItemGuid">
    <vt:lpwstr>c0f49752-1c5a-4968-bb9d-86dfa2c9149d</vt:lpwstr>
  </property>
</Properties>
</file>